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Pr="00D713F5" w:rsidRDefault="00D713F5">
      <w:pPr>
        <w:rPr>
          <w:b/>
          <w:u w:val="single"/>
          <w:lang w:val="el-GR"/>
        </w:rPr>
      </w:pPr>
      <w:bookmarkStart w:id="0" w:name="_GoBack"/>
      <w:bookmarkEnd w:id="0"/>
      <w:r w:rsidRPr="00D713F5">
        <w:rPr>
          <w:b/>
          <w:u w:val="single"/>
          <w:lang w:val="el-GR"/>
        </w:rPr>
        <w:t>ΦΥΛΛΟ ΣΥΜΜΟΡΦΩΣΗΣ</w:t>
      </w:r>
    </w:p>
    <w:p w:rsidR="00101AD9" w:rsidRDefault="00101AD9"/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  <w:r>
        <w:rPr>
          <w:rFonts w:eastAsia="Calibri"/>
          <w:b/>
          <w:bCs/>
          <w:szCs w:val="22"/>
          <w:lang w:val="el-GR" w:eastAsia="en-US"/>
        </w:rPr>
        <w:t>ΤΜΗΜΑ Α :</w:t>
      </w:r>
    </w:p>
    <w:p w:rsidR="00101AD9" w:rsidRPr="00467821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  <w:r>
        <w:rPr>
          <w:rFonts w:eastAsia="Calibri"/>
          <w:b/>
          <w:bCs/>
          <w:szCs w:val="22"/>
          <w:lang w:val="el-GR" w:eastAsia="en-US"/>
        </w:rPr>
        <w:t xml:space="preserve">1.  </w:t>
      </w:r>
      <w:r w:rsidRPr="00467821">
        <w:rPr>
          <w:rFonts w:eastAsia="Calibri"/>
          <w:b/>
          <w:bCs/>
          <w:szCs w:val="22"/>
          <w:lang w:val="el-GR" w:eastAsia="en-US"/>
        </w:rPr>
        <w:t xml:space="preserve">ΖΩΟΤΡΟΦΗ </w:t>
      </w:r>
    </w:p>
    <w:p w:rsidR="00101AD9" w:rsidRDefault="00101AD9"/>
    <w:tbl>
      <w:tblPr>
        <w:tblW w:w="5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315"/>
        <w:gridCol w:w="3077"/>
        <w:gridCol w:w="993"/>
        <w:gridCol w:w="849"/>
        <w:gridCol w:w="1558"/>
      </w:tblGrid>
      <w:tr w:rsidR="00D713F5" w:rsidRPr="00467821" w:rsidTr="00D713F5">
        <w:trPr>
          <w:trHeight w:val="1215"/>
          <w:jc w:val="center"/>
        </w:trPr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Α/Α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Περιγραφή Είδους</w:t>
            </w: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D9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</w:p>
          <w:p w:rsidR="00101AD9" w:rsidRPr="00467821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Τεχνικά Χαρακτηριστικά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101AD9" w:rsidRPr="002A5D18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101AD9" w:rsidRPr="002A5D18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101AD9" w:rsidRPr="002A5D18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D713F5" w:rsidRPr="002A5D18" w:rsidTr="00D713F5">
        <w:trPr>
          <w:trHeight w:val="947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>Ζωοτροφή  τρωκτικών εργαστηρίου σε σύμπηκτα (</w:t>
            </w:r>
            <w:proofErr w:type="spellStart"/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>pellets</w:t>
            </w:r>
            <w:proofErr w:type="spellEnd"/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 xml:space="preserve">) </w:t>
            </w:r>
          </w:p>
        </w:tc>
        <w:tc>
          <w:tcPr>
            <w:tcW w:w="162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color w:val="000000"/>
                <w:szCs w:val="22"/>
                <w:lang w:val="el-GR" w:eastAsia="en-GB"/>
              </w:rPr>
              <w:t>Ζωοτροφή διατροφικά ισόρροπη για την κάλυψη αναγκών συντήρησης τρωκτικών που χρησιμοποιούνται για επιστημονικούς σκοπούς.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nil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594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2A5D18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  <w:vAlign w:val="center"/>
            <w:hideMark/>
          </w:tcPr>
          <w:p w:rsidR="00101AD9" w:rsidRPr="002A5D18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62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color w:val="000000"/>
                <w:szCs w:val="22"/>
                <w:lang w:val="el-GR" w:eastAsia="en-GB"/>
              </w:rPr>
              <w:t>Σε μορφή συμπήκτων (</w:t>
            </w:r>
            <w:proofErr w:type="spellStart"/>
            <w:r w:rsidRPr="00467821">
              <w:rPr>
                <w:color w:val="000000"/>
                <w:szCs w:val="22"/>
                <w:lang w:val="el-GR" w:eastAsia="en-GB"/>
              </w:rPr>
              <w:t>pellets</w:t>
            </w:r>
            <w:proofErr w:type="spellEnd"/>
            <w:r w:rsidRPr="00467821">
              <w:rPr>
                <w:color w:val="000000"/>
                <w:szCs w:val="22"/>
                <w:lang w:val="el-GR" w:eastAsia="en-GB"/>
              </w:rPr>
              <w:t xml:space="preserve">), διατομής 1 εκ.,  για παράθεση στη </w:t>
            </w:r>
            <w:proofErr w:type="spellStart"/>
            <w:r w:rsidRPr="00467821">
              <w:rPr>
                <w:color w:val="000000"/>
                <w:szCs w:val="22"/>
                <w:lang w:val="el-GR" w:eastAsia="en-GB"/>
              </w:rPr>
              <w:t>τροφοδόχο</w:t>
            </w:r>
            <w:proofErr w:type="spellEnd"/>
            <w:r w:rsidRPr="00467821">
              <w:rPr>
                <w:color w:val="000000"/>
                <w:szCs w:val="22"/>
                <w:lang w:val="el-GR" w:eastAsia="en-GB"/>
              </w:rPr>
              <w:t xml:space="preserve"> τυποποιημένων κλωβών τρωκτικών εργαστηρίου. </w:t>
            </w:r>
          </w:p>
        </w:tc>
        <w:tc>
          <w:tcPr>
            <w:tcW w:w="523" w:type="pct"/>
            <w:tcBorders>
              <w:top w:val="nil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  <w:tcBorders>
              <w:top w:val="nil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1112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color w:val="000000"/>
                <w:szCs w:val="22"/>
                <w:lang w:val="el-GR" w:eastAsia="en-GB"/>
              </w:rPr>
              <w:t>Ο κατασκευαστής Οίκος, να είναι διαπιστευμένος για ζωοτροφές ζώων εργαστηρίου, και αυτό να επιβεβαιώνεται με το ανάλογο Πιστοποιητικό.</w:t>
            </w:r>
          </w:p>
        </w:tc>
        <w:tc>
          <w:tcPr>
            <w:tcW w:w="523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337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color w:val="000000"/>
                <w:szCs w:val="22"/>
                <w:lang w:val="el-GR" w:eastAsia="en-GB"/>
              </w:rPr>
              <w:t>Οι συμμετέχοντες θα πρέπει να προσκομίσουν :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800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eastAsia="en-GB"/>
              </w:rPr>
            </w:pPr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>-          Βεβαίωση όπου θα αναφέρεται ότι η περιεκτικότητα της τροφής σε G.M.O.  (γενετικά τροποποιημένο συστατικό), είναι μικρότερη του 0,9%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277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>-          Πιστοποιητικό ISO 9000, που αφορά στον χώρο παραγωγής.</w:t>
            </w:r>
          </w:p>
        </w:tc>
        <w:tc>
          <w:tcPr>
            <w:tcW w:w="523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426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 xml:space="preserve">-          Αριθμό έγκρισης για τις εγκαταστάσεις παραγωγής των ζωοτροφών και όχι αυτές των τελικών μεταπωλητών. </w:t>
            </w:r>
          </w:p>
        </w:tc>
        <w:tc>
          <w:tcPr>
            <w:tcW w:w="523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</w:tr>
      <w:tr w:rsidR="00D713F5" w:rsidRPr="00467821" w:rsidTr="00D713F5">
        <w:trPr>
          <w:trHeight w:val="915"/>
          <w:jc w:val="center"/>
        </w:trPr>
        <w:tc>
          <w:tcPr>
            <w:tcW w:w="371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467821">
              <w:rPr>
                <w:rFonts w:cs="Times New Roman"/>
                <w:color w:val="000000"/>
                <w:szCs w:val="22"/>
                <w:lang w:val="el-GR" w:eastAsia="en-GB"/>
              </w:rPr>
              <w:t>Η συσκευασία να είναι σε σφραγισμένους σάκους των 10-13 κιλών.</w:t>
            </w:r>
          </w:p>
        </w:tc>
        <w:tc>
          <w:tcPr>
            <w:tcW w:w="523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447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  <w:tc>
          <w:tcPr>
            <w:tcW w:w="821" w:type="pct"/>
          </w:tcPr>
          <w:p w:rsidR="00101AD9" w:rsidRPr="00467821" w:rsidRDefault="00101AD9" w:rsidP="00250FF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</w:p>
        </w:tc>
      </w:tr>
    </w:tbl>
    <w:p w:rsidR="00101AD9" w:rsidRDefault="00101AD9">
      <w:pPr>
        <w:rPr>
          <w:lang w:val="el-GR"/>
        </w:rPr>
      </w:pPr>
    </w:p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  <w:r>
        <w:rPr>
          <w:rFonts w:eastAsia="Calibri"/>
          <w:b/>
          <w:bCs/>
          <w:szCs w:val="22"/>
          <w:lang w:val="el-GR" w:eastAsia="en-US"/>
        </w:rPr>
        <w:t>2.</w:t>
      </w:r>
      <w:r w:rsidRPr="00467821">
        <w:rPr>
          <w:rFonts w:eastAsia="Calibri"/>
          <w:b/>
          <w:bCs/>
          <w:szCs w:val="22"/>
          <w:lang w:val="el-GR" w:eastAsia="en-US"/>
        </w:rPr>
        <w:t xml:space="preserve">ΥΛΙΚΑ ΣΤΡΩΜΝΗΣ </w:t>
      </w:r>
    </w:p>
    <w:tbl>
      <w:tblPr>
        <w:tblpPr w:leftFromText="180" w:rightFromText="180" w:vertAnchor="text" w:tblpXSpec="center" w:tblpY="1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2835"/>
        <w:gridCol w:w="992"/>
        <w:gridCol w:w="992"/>
        <w:gridCol w:w="1560"/>
      </w:tblGrid>
      <w:tr w:rsidR="00101AD9" w:rsidRPr="00101AD9" w:rsidTr="00D713F5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Περιγραφή Είδους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Τεχνικά Χαρακτηριστικά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101AD9" w:rsidRPr="00101AD9" w:rsidTr="00D713F5">
        <w:trPr>
          <w:trHeight w:val="7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lastRenderedPageBreak/>
              <w:t>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Υλικό στρωμνής για τρωκτικά που διατηρούνται σε κλασικά τυποποιημένους κλωβούς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Το υλικό της στρωμνής να είναι κατάλληλο για τρωκτικά που χρησιμοποιούνται για επιστημονικούς σκοπούς και διατηρούνται σε κλασικά τυποποιημένους κλωβούς.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n-US" w:eastAsia="el-GR"/>
              </w:rPr>
              <w:t>To</w:t>
            </w:r>
            <w:r w:rsidRPr="00101AD9">
              <w:rPr>
                <w:szCs w:val="22"/>
                <w:lang w:val="el-GR" w:eastAsia="el-GR"/>
              </w:rPr>
              <w:t xml:space="preserve"> υλικό - να είναι από τεμάχια ξύλου ελάτης μεγέθους περίπου 1,8χιλιοστών και απαλλαγμένο σκόνης. 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Να έχει ικανότητα απορρόφησης περίπου 3 φορές το βάρος του.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Το υλικό της στρωμνής να μπορεί να αποστειρωθεί (</w:t>
            </w:r>
            <w:proofErr w:type="spellStart"/>
            <w:r w:rsidRPr="00101AD9">
              <w:rPr>
                <w:szCs w:val="22"/>
                <w:lang w:val="en-US" w:eastAsia="el-GR"/>
              </w:rPr>
              <w:t>autoclavable</w:t>
            </w:r>
            <w:proofErr w:type="spellEnd"/>
            <w:r w:rsidRPr="00101AD9">
              <w:rPr>
                <w:szCs w:val="22"/>
                <w:lang w:val="el-GR" w:eastAsia="el-GR"/>
              </w:rPr>
              <w:t>) και να αποθηκευτεί για μεγάλο χρονικό διάστημα, σε ξηρό περιβάλλον.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Το προϊόν να συνοδεύεται από Πιστοποιητικό,  που να αποδεικνύει ότι είναι κατάλληλο για χρήση σε τρωκτικά εργαστηρίου (αναφορικά στο μικροβιακό φορτίο,  απουσία χημικών ουσιών, σκόνης, </w:t>
            </w:r>
            <w:proofErr w:type="spellStart"/>
            <w:r w:rsidRPr="00101AD9">
              <w:rPr>
                <w:szCs w:val="22"/>
                <w:lang w:val="el-GR" w:eastAsia="el-GR"/>
              </w:rPr>
              <w:t>κλπ</w:t>
            </w:r>
            <w:proofErr w:type="spellEnd"/>
            <w:r w:rsidRPr="00101AD9">
              <w:rPr>
                <w:szCs w:val="22"/>
                <w:lang w:val="el-GR" w:eastAsia="el-GR"/>
              </w:rPr>
              <w:t>).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Η συσκευασία να είναι σε σφραγισμένους σάκους των 10-12 κιλών.</w:t>
            </w:r>
          </w:p>
        </w:tc>
        <w:tc>
          <w:tcPr>
            <w:tcW w:w="99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99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1560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</w:tr>
      <w:tr w:rsidR="00101AD9" w:rsidRPr="00101AD9" w:rsidTr="00D713F5">
        <w:trPr>
          <w:trHeight w:val="140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Υλικό στρωμνής  για  τρωκτικά  που διατηρούνται σε κλωβούς –</w:t>
            </w:r>
            <w:r w:rsidRPr="00101AD9">
              <w:rPr>
                <w:rFonts w:eastAsia="Calibri"/>
                <w:szCs w:val="22"/>
                <w:lang w:val="en-US" w:eastAsia="en-US"/>
              </w:rPr>
              <w:t>IVC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(</w:t>
            </w:r>
            <w:r w:rsidRPr="00101AD9">
              <w:rPr>
                <w:rFonts w:eastAsia="Calibri"/>
                <w:szCs w:val="22"/>
                <w:lang w:val="en-US" w:eastAsia="en-US"/>
              </w:rPr>
              <w:t>Individually</w:t>
            </w:r>
            <w:r w:rsidRPr="00101AD9">
              <w:rPr>
                <w:rFonts w:eastAsia="Calibri"/>
                <w:szCs w:val="22"/>
                <w:lang w:val="el-GR" w:eastAsia="en-US"/>
              </w:rPr>
              <w:t>-</w:t>
            </w:r>
            <w:r w:rsidRPr="00101AD9">
              <w:rPr>
                <w:rFonts w:eastAsia="Calibri"/>
                <w:szCs w:val="22"/>
                <w:lang w:val="en-US" w:eastAsia="en-US"/>
              </w:rPr>
              <w:t>Ventilated</w:t>
            </w:r>
            <w:r w:rsidRPr="00101AD9">
              <w:rPr>
                <w:rFonts w:eastAsia="Calibri"/>
                <w:szCs w:val="22"/>
                <w:lang w:val="el-GR" w:eastAsia="en-US"/>
              </w:rPr>
              <w:t>-</w:t>
            </w:r>
            <w:r w:rsidRPr="00101AD9">
              <w:rPr>
                <w:rFonts w:eastAsia="Calibri"/>
                <w:szCs w:val="22"/>
                <w:lang w:val="en-US" w:eastAsia="en-US"/>
              </w:rPr>
              <w:t>Cages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Το υλικό της στρωμνής να είναι κατάλληλο για τρωκτικά που χρησιμοποιούνται για επιστημονικούς σκοπούς και διατηρούνται σε κλωβούς </w:t>
            </w:r>
            <w:r w:rsidRPr="00101AD9">
              <w:rPr>
                <w:szCs w:val="22"/>
                <w:lang w:val="en-US" w:eastAsia="el-GR"/>
              </w:rPr>
              <w:t>IVC</w:t>
            </w:r>
            <w:r w:rsidRPr="00101AD9">
              <w:rPr>
                <w:szCs w:val="22"/>
                <w:lang w:val="el-GR" w:eastAsia="el-GR"/>
              </w:rPr>
              <w:t xml:space="preserve"> (</w:t>
            </w:r>
            <w:r w:rsidRPr="00101AD9">
              <w:rPr>
                <w:szCs w:val="22"/>
                <w:lang w:val="en-US" w:eastAsia="el-GR"/>
              </w:rPr>
              <w:t>Individually</w:t>
            </w:r>
            <w:r w:rsidRPr="00101AD9">
              <w:rPr>
                <w:szCs w:val="22"/>
                <w:lang w:val="el-GR" w:eastAsia="el-GR"/>
              </w:rPr>
              <w:t xml:space="preserve"> </w:t>
            </w:r>
            <w:r w:rsidRPr="00101AD9">
              <w:rPr>
                <w:szCs w:val="22"/>
                <w:lang w:val="en-US" w:eastAsia="el-GR"/>
              </w:rPr>
              <w:t>Ventilated</w:t>
            </w:r>
            <w:r w:rsidRPr="00101AD9">
              <w:rPr>
                <w:szCs w:val="22"/>
                <w:lang w:val="el-GR" w:eastAsia="el-GR"/>
              </w:rPr>
              <w:t xml:space="preserve"> </w:t>
            </w:r>
            <w:r w:rsidRPr="00101AD9">
              <w:rPr>
                <w:szCs w:val="22"/>
                <w:lang w:val="en-US" w:eastAsia="el-GR"/>
              </w:rPr>
              <w:t>Cages</w:t>
            </w:r>
            <w:r w:rsidRPr="00101AD9">
              <w:rPr>
                <w:szCs w:val="22"/>
                <w:lang w:val="el-GR" w:eastAsia="el-GR"/>
              </w:rPr>
              <w:t xml:space="preserve">- </w:t>
            </w:r>
            <w:r w:rsidRPr="00101AD9">
              <w:rPr>
                <w:szCs w:val="22"/>
                <w:lang w:val="en-US" w:eastAsia="el-GR"/>
              </w:rPr>
              <w:t>IVC</w:t>
            </w:r>
            <w:r w:rsidRPr="00101AD9">
              <w:rPr>
                <w:szCs w:val="22"/>
                <w:lang w:val="el-GR" w:eastAsia="el-GR"/>
              </w:rPr>
              <w:t>).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proofErr w:type="spellStart"/>
            <w:r w:rsidRPr="00101AD9">
              <w:rPr>
                <w:szCs w:val="22"/>
                <w:lang w:val="el-GR" w:eastAsia="el-GR"/>
              </w:rPr>
              <w:t>To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υλικό κατασκευής να είναι από </w:t>
            </w:r>
            <w:proofErr w:type="spellStart"/>
            <w:r w:rsidRPr="00101AD9">
              <w:rPr>
                <w:szCs w:val="22"/>
                <w:lang w:val="el-GR" w:eastAsia="el-GR"/>
              </w:rPr>
              <w:t>σπάδικες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καλαμποκιού (</w:t>
            </w:r>
            <w:r w:rsidRPr="00101AD9">
              <w:rPr>
                <w:szCs w:val="22"/>
                <w:lang w:val="en-US" w:eastAsia="el-GR"/>
              </w:rPr>
              <w:t>corncob</w:t>
            </w:r>
            <w:r w:rsidRPr="00101AD9">
              <w:rPr>
                <w:szCs w:val="22"/>
                <w:lang w:val="el-GR" w:eastAsia="el-GR"/>
              </w:rPr>
              <w:t xml:space="preserve">), μήκους 1-2χιλιοστών, ειδικού βάρους 550g/λίτρο, με χαμηλό επίπεδο υγρασίας περίπου 10% και απαλλαγμένο σκόνης. 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Να έχει ικανότητα απορρόφησης περίπου ίσης με το βάρος του.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lastRenderedPageBreak/>
              <w:t>Το υλικό της στρωμνής να μπορεί να αποστειρωθεί (</w:t>
            </w:r>
            <w:proofErr w:type="spellStart"/>
            <w:r w:rsidRPr="00101AD9">
              <w:rPr>
                <w:szCs w:val="22"/>
                <w:lang w:val="el-GR" w:eastAsia="el-GR"/>
              </w:rPr>
              <w:t>autoclavable</w:t>
            </w:r>
            <w:proofErr w:type="spellEnd"/>
            <w:r w:rsidRPr="00101AD9">
              <w:rPr>
                <w:szCs w:val="22"/>
                <w:lang w:val="el-GR" w:eastAsia="el-GR"/>
              </w:rPr>
              <w:t>) και να αποθηκευτεί για μεγάλο χρονικό διάστημα, σε ξηρό περιβάλλον.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Το προϊόν να συνοδεύεται από Πιστοποιητικό,  που να αποδεικνύει ότι είναι κατάλληλο για χρήση σε εργαστηριακά ζώα (τρωκτικά εργαστηρίου) (αναφορικά στο μικροβιακό φορτίο, ανάλυση παρουσίας  απουσία χημικών ουσιών, σκόνης, </w:t>
            </w:r>
            <w:proofErr w:type="spellStart"/>
            <w:r w:rsidRPr="00101AD9">
              <w:rPr>
                <w:szCs w:val="22"/>
                <w:lang w:val="el-GR" w:eastAsia="el-GR"/>
              </w:rPr>
              <w:t>κλπ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) και ανάλογο πιστοποιητικό </w:t>
            </w:r>
            <w:r w:rsidRPr="00101AD9">
              <w:rPr>
                <w:szCs w:val="22"/>
                <w:lang w:val="en-US" w:eastAsia="el-GR"/>
              </w:rPr>
              <w:t>IS</w:t>
            </w:r>
            <w:r w:rsidRPr="00101AD9">
              <w:rPr>
                <w:szCs w:val="22"/>
                <w:lang w:val="el-GR" w:eastAsia="el-GR"/>
              </w:rPr>
              <w:t>Ο του Οίκου και της Εταιρείας που προφέρει το είδος .-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Η συσκευασία να είναι σε σφραγισμένους σάκους των 15-20 κιλών. </w:t>
            </w:r>
          </w:p>
        </w:tc>
        <w:tc>
          <w:tcPr>
            <w:tcW w:w="99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99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1560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</w:tr>
      <w:tr w:rsidR="00101AD9" w:rsidRPr="00101AD9" w:rsidTr="00D713F5">
        <w:trPr>
          <w:trHeight w:val="6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highlight w:val="yellow"/>
                <w:lang w:val="el-GR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szCs w:val="22"/>
                <w:highlight w:val="yellow"/>
                <w:lang w:val="el-GR" w:eastAsia="en-US"/>
              </w:rPr>
            </w:pPr>
          </w:p>
        </w:tc>
        <w:tc>
          <w:tcPr>
            <w:tcW w:w="99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szCs w:val="22"/>
                <w:highlight w:val="yellow"/>
                <w:lang w:val="el-GR" w:eastAsia="en-US"/>
              </w:rPr>
            </w:pPr>
          </w:p>
        </w:tc>
        <w:tc>
          <w:tcPr>
            <w:tcW w:w="99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szCs w:val="22"/>
                <w:highlight w:val="yellow"/>
                <w:lang w:val="el-GR" w:eastAsia="en-US"/>
              </w:rPr>
            </w:pPr>
          </w:p>
        </w:tc>
        <w:tc>
          <w:tcPr>
            <w:tcW w:w="1560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szCs w:val="22"/>
                <w:highlight w:val="yellow"/>
                <w:lang w:val="el-GR" w:eastAsia="en-US"/>
              </w:rPr>
            </w:pPr>
          </w:p>
        </w:tc>
      </w:tr>
    </w:tbl>
    <w:p w:rsidR="00101AD9" w:rsidRDefault="00101AD9">
      <w:pPr>
        <w:rPr>
          <w:lang w:val="el-GR"/>
        </w:rPr>
      </w:pPr>
    </w:p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  <w:r>
        <w:rPr>
          <w:rFonts w:eastAsia="Calibri"/>
          <w:b/>
          <w:bCs/>
          <w:szCs w:val="22"/>
          <w:lang w:val="en-US" w:eastAsia="en-US"/>
        </w:rPr>
        <w:t>3.</w:t>
      </w:r>
      <w:r w:rsidRPr="005A72ED">
        <w:rPr>
          <w:rFonts w:eastAsia="Calibri"/>
          <w:b/>
          <w:bCs/>
          <w:szCs w:val="22"/>
          <w:lang w:val="el-GR" w:eastAsia="en-US"/>
        </w:rPr>
        <w:t xml:space="preserve">ΥΛΙΚΑ ΚΛΩΒΩΝ ΔΙΑΤΗΡΗΣΗΣ ΖΩΩΝ </w:t>
      </w:r>
    </w:p>
    <w:tbl>
      <w:tblPr>
        <w:tblpPr w:leftFromText="180" w:rightFromText="180" w:vertAnchor="text" w:tblpXSpec="center" w:tblpY="1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948"/>
        <w:gridCol w:w="954"/>
        <w:gridCol w:w="952"/>
        <w:gridCol w:w="1496"/>
      </w:tblGrid>
      <w:tr w:rsidR="00101AD9" w:rsidRPr="00101AD9" w:rsidTr="00D713F5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Περιγραφή Είδους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Τεχνικά Χαρακτηριστικά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101AD9" w:rsidRPr="00101AD9" w:rsidTr="00D713F5">
        <w:trPr>
          <w:trHeight w:val="15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Φίλτρα συμβατικών κλωβών ζώων εργαστηρίου, μεσαίων διαστάσεων (31,5Χ32,2 εκ)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Φίλτρα κατάλληλα για μεσαία καπάκια κλωβών (</w:t>
            </w:r>
            <w:r w:rsidRPr="00101AD9">
              <w:rPr>
                <w:szCs w:val="22"/>
                <w:lang w:val="en-US" w:eastAsia="el-GR"/>
              </w:rPr>
              <w:t>filter</w:t>
            </w:r>
            <w:r w:rsidRPr="00101AD9">
              <w:rPr>
                <w:szCs w:val="22"/>
                <w:lang w:val="el-GR" w:eastAsia="el-GR"/>
              </w:rPr>
              <w:t xml:space="preserve"> </w:t>
            </w:r>
            <w:r w:rsidRPr="00101AD9">
              <w:rPr>
                <w:szCs w:val="22"/>
                <w:lang w:val="en-US" w:eastAsia="el-GR"/>
              </w:rPr>
              <w:t>tops</w:t>
            </w:r>
            <w:r w:rsidRPr="00101AD9">
              <w:rPr>
                <w:szCs w:val="22"/>
                <w:lang w:val="el-GR" w:eastAsia="el-GR"/>
              </w:rPr>
              <w:t xml:space="preserve">). </w:t>
            </w:r>
          </w:p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Με δυνατότητα συγκράτησης περίπου 85-90% </w:t>
            </w:r>
            <w:proofErr w:type="spellStart"/>
            <w:r w:rsidRPr="00101AD9">
              <w:rPr>
                <w:szCs w:val="22"/>
                <w:lang w:val="el-GR" w:eastAsia="el-GR"/>
              </w:rPr>
              <w:t>μικροσωματιδίων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μεγέθους μέχρι 10μ</w:t>
            </w:r>
            <w:r w:rsidRPr="00101AD9">
              <w:rPr>
                <w:szCs w:val="22"/>
                <w:lang w:val="en-US" w:eastAsia="el-GR"/>
              </w:rPr>
              <w:t>m</w:t>
            </w:r>
            <w:r w:rsidRPr="00101AD9">
              <w:rPr>
                <w:szCs w:val="22"/>
                <w:lang w:val="el-GR" w:eastAsia="el-GR"/>
              </w:rPr>
              <w:t>.</w:t>
            </w:r>
          </w:p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Συσκευασία 50 τεμαχίων.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101AD9" w:rsidRPr="00101AD9" w:rsidTr="00D713F5">
        <w:trPr>
          <w:trHeight w:val="15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Φίλτρα συμβατικών κλωβών ζώων εργαστηρίου, μεγάλων διαστάσεων (34,2Χ39,1 εκ)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Φίλτρα κατάλληλα για μεγάλα καπάκια κλωβών (</w:t>
            </w:r>
            <w:proofErr w:type="spellStart"/>
            <w:r w:rsidRPr="00101AD9">
              <w:rPr>
                <w:szCs w:val="22"/>
                <w:lang w:val="el-GR" w:eastAsia="el-GR"/>
              </w:rPr>
              <w:t>filter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101AD9">
              <w:rPr>
                <w:szCs w:val="22"/>
                <w:lang w:val="el-GR" w:eastAsia="el-GR"/>
              </w:rPr>
              <w:t>tops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). </w:t>
            </w:r>
          </w:p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Με δυνατότητα συγκράτησης περίπου 85-90% </w:t>
            </w:r>
            <w:proofErr w:type="spellStart"/>
            <w:r w:rsidRPr="00101AD9">
              <w:rPr>
                <w:szCs w:val="22"/>
                <w:lang w:val="el-GR" w:eastAsia="el-GR"/>
              </w:rPr>
              <w:t>μικροσωματιδίων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μεγέθους μέχρι 10μm.</w:t>
            </w:r>
          </w:p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>Συσκευασία 50 τεμαχίων.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101AD9">
              <w:rPr>
                <w:szCs w:val="22"/>
                <w:lang w:val="el-GR" w:eastAsia="el-GR"/>
              </w:rPr>
              <w:t>Τολύπια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βάμβακος (</w:t>
            </w:r>
            <w:proofErr w:type="spellStart"/>
            <w:r w:rsidRPr="00101AD9">
              <w:rPr>
                <w:szCs w:val="22"/>
                <w:lang w:val="el-GR" w:eastAsia="el-GR"/>
              </w:rPr>
              <w:t>dental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101AD9">
              <w:rPr>
                <w:szCs w:val="22"/>
                <w:lang w:val="el-GR" w:eastAsia="el-GR"/>
              </w:rPr>
              <w:t>rolls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)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101AD9">
              <w:rPr>
                <w:rFonts w:eastAsia="Calibri"/>
                <w:szCs w:val="22"/>
                <w:lang w:val="el-GR" w:eastAsia="en-US"/>
              </w:rPr>
              <w:t>Τολύπια</w:t>
            </w:r>
            <w:proofErr w:type="spellEnd"/>
            <w:r w:rsidRPr="00101AD9">
              <w:rPr>
                <w:rFonts w:eastAsia="Calibri"/>
                <w:szCs w:val="22"/>
                <w:lang w:val="el-GR" w:eastAsia="en-US"/>
              </w:rPr>
              <w:t xml:space="preserve"> υδρόφιλου βάμβακος συμπιεσμένα, </w:t>
            </w:r>
            <w:proofErr w:type="spellStart"/>
            <w:r w:rsidRPr="00101AD9">
              <w:rPr>
                <w:rFonts w:eastAsia="Calibri"/>
                <w:szCs w:val="22"/>
                <w:lang w:val="el-GR" w:eastAsia="en-US"/>
              </w:rPr>
              <w:t>αποστειρώσιμα</w:t>
            </w:r>
            <w:proofErr w:type="spellEnd"/>
            <w:r w:rsidRPr="00101AD9">
              <w:rPr>
                <w:rFonts w:eastAsia="Calibri"/>
                <w:szCs w:val="22"/>
                <w:lang w:val="el-GR" w:eastAsia="en-US"/>
              </w:rPr>
              <w:t xml:space="preserve">, για ιατρική-οδοντιατρική χρήση, μεγέθους 10X38mm, </w:t>
            </w:r>
            <w:proofErr w:type="spellStart"/>
            <w:r w:rsidRPr="00101AD9">
              <w:rPr>
                <w:rFonts w:eastAsia="Calibri"/>
                <w:szCs w:val="22"/>
                <w:lang w:val="el-GR" w:eastAsia="en-US"/>
              </w:rPr>
              <w:t>Size</w:t>
            </w:r>
            <w:proofErr w:type="spellEnd"/>
            <w:r w:rsidRPr="00101AD9">
              <w:rPr>
                <w:rFonts w:eastAsia="Calibri"/>
                <w:szCs w:val="22"/>
                <w:lang w:val="el-GR" w:eastAsia="en-US"/>
              </w:rPr>
              <w:t xml:space="preserve"> #2 (</w:t>
            </w:r>
            <w:proofErr w:type="spellStart"/>
            <w:r w:rsidRPr="00101AD9">
              <w:rPr>
                <w:rFonts w:eastAsia="Calibri"/>
                <w:szCs w:val="22"/>
                <w:lang w:val="el-GR" w:eastAsia="en-US"/>
              </w:rPr>
              <w:t>medium</w:t>
            </w:r>
            <w:proofErr w:type="spellEnd"/>
            <w:r w:rsidRPr="00101AD9">
              <w:rPr>
                <w:rFonts w:eastAsia="Calibri"/>
                <w:szCs w:val="22"/>
                <w:lang w:val="el-GR" w:eastAsia="en-US"/>
              </w:rPr>
              <w:t>)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Συσκευασία 2000τεμαχίων.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 xml:space="preserve">Φιάλη νερού για τυποποιημένους κλωβούς </w:t>
            </w:r>
            <w:r w:rsidRPr="00101AD9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Φιάλη νερού πλαστική 400</w:t>
            </w:r>
            <w:r w:rsidRPr="00101AD9">
              <w:rPr>
                <w:rFonts w:eastAsia="Calibri"/>
                <w:szCs w:val="22"/>
                <w:lang w:val="en-US" w:eastAsia="en-US"/>
              </w:rPr>
              <w:t>ml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(</w:t>
            </w:r>
            <w:r w:rsidRPr="00101AD9">
              <w:rPr>
                <w:rFonts w:eastAsia="Calibri"/>
                <w:szCs w:val="22"/>
                <w:lang w:val="en-US" w:eastAsia="en-US"/>
              </w:rPr>
              <w:t>polycarbonate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) τετράγωνη, με </w:t>
            </w:r>
            <w:r w:rsidRPr="00101AD9">
              <w:rPr>
                <w:rFonts w:eastAsia="Calibri"/>
                <w:szCs w:val="22"/>
                <w:lang w:val="en-US" w:eastAsia="en-US"/>
              </w:rPr>
              <w:t>silicone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101AD9">
              <w:rPr>
                <w:rFonts w:eastAsia="Calibri"/>
                <w:szCs w:val="22"/>
                <w:lang w:val="en-US" w:eastAsia="en-US"/>
              </w:rPr>
              <w:t>ring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 xml:space="preserve">Φιάλη νερού για τυποποιημένους κλωβούς 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Φιάλη νερού πλαστική 500</w:t>
            </w:r>
            <w:r w:rsidRPr="00101AD9">
              <w:rPr>
                <w:rFonts w:eastAsia="Calibri"/>
                <w:szCs w:val="22"/>
                <w:lang w:val="en-US" w:eastAsia="en-US"/>
              </w:rPr>
              <w:t>ml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(</w:t>
            </w:r>
            <w:r w:rsidRPr="00101AD9">
              <w:rPr>
                <w:rFonts w:eastAsia="Calibri"/>
                <w:szCs w:val="22"/>
                <w:lang w:val="en-US" w:eastAsia="en-US"/>
              </w:rPr>
              <w:t>polycarbonate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) στρογγυλό, με </w:t>
            </w:r>
            <w:r w:rsidRPr="00101AD9">
              <w:rPr>
                <w:rFonts w:eastAsia="Calibri"/>
                <w:szCs w:val="22"/>
                <w:lang w:val="en-US" w:eastAsia="en-US"/>
              </w:rPr>
              <w:t>silicone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101AD9">
              <w:rPr>
                <w:rFonts w:eastAsia="Calibri"/>
                <w:szCs w:val="22"/>
                <w:lang w:val="en-US" w:eastAsia="en-US"/>
              </w:rPr>
              <w:t>ring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 xml:space="preserve">Καπάκι φιάλης νερού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Καπάκι φιάλης νερού από ανοξείδωτο χάλυβα, διάμετρος επιστομίου 1</w:t>
            </w:r>
            <w:r w:rsidRPr="00101AD9">
              <w:rPr>
                <w:rFonts w:eastAsia="Calibri"/>
                <w:szCs w:val="22"/>
                <w:lang w:val="en-US" w:eastAsia="en-US"/>
              </w:rPr>
              <w:t>mm</w:t>
            </w:r>
            <w:r w:rsidRPr="00101AD9">
              <w:rPr>
                <w:rFonts w:eastAsia="Calibri"/>
                <w:szCs w:val="22"/>
                <w:lang w:val="el-GR" w:eastAsia="en-US"/>
              </w:rPr>
              <w:t>, μήκος ρύγχους 25</w:t>
            </w:r>
            <w:r w:rsidRPr="00101AD9">
              <w:rPr>
                <w:rFonts w:eastAsia="Calibri"/>
                <w:szCs w:val="22"/>
                <w:lang w:val="en-US" w:eastAsia="en-US"/>
              </w:rPr>
              <w:t>mm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Σχάρα για κλωβούς τρωκτικών</w:t>
            </w:r>
          </w:p>
        </w:tc>
        <w:tc>
          <w:tcPr>
            <w:tcW w:w="2948" w:type="dxa"/>
            <w:shd w:val="clear" w:color="auto" w:fill="auto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 xml:space="preserve">Σχάρα κλωβού υπερυψωμένη με διαχωριστικό, (μήκος x πλάτος): 598 Χ 380 χιλιοστών.  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Σχάρα για κλωβούς τρωκτικών</w:t>
            </w:r>
          </w:p>
        </w:tc>
        <w:tc>
          <w:tcPr>
            <w:tcW w:w="2948" w:type="dxa"/>
            <w:shd w:val="clear" w:color="auto" w:fill="auto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Σχάρα κλωβού υπερυψωμένη με διαχωριστικό, (μήκος x πλάτος): 425 Χ 276 χιλιοστών</w:t>
            </w: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101AD9" w:rsidTr="00D713F5">
        <w:trPr>
          <w:trHeight w:val="44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Σχάρα για κλωβούς τρωκτικών</w:t>
            </w:r>
          </w:p>
        </w:tc>
        <w:tc>
          <w:tcPr>
            <w:tcW w:w="2948" w:type="dxa"/>
            <w:shd w:val="clear" w:color="auto" w:fill="auto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Σχάρα κλωβού με διαχωριστικό, (μήκος x πλάτος): 365 Χ 207 χιλιοστών.</w:t>
            </w:r>
          </w:p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4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52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</w:p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  <w:r w:rsidRPr="00294834">
        <w:rPr>
          <w:rFonts w:eastAsia="Calibri"/>
          <w:b/>
          <w:bCs/>
          <w:szCs w:val="22"/>
          <w:lang w:val="el-GR" w:eastAsia="en-US"/>
        </w:rPr>
        <w:t>4.</w:t>
      </w:r>
      <w:r w:rsidRPr="002A5D18">
        <w:rPr>
          <w:rFonts w:eastAsia="Calibri"/>
          <w:b/>
          <w:bCs/>
          <w:szCs w:val="22"/>
          <w:lang w:val="el-GR" w:eastAsia="en-US"/>
        </w:rPr>
        <w:t>ΥΛΙΚΑ ΚΛΩΒΩΝ ΜΕΤΑΦΟΡΑΣ ΖΩΝΤΑΝΩΝ ΤΡΩΚΤΙΚΩΝ</w:t>
      </w:r>
    </w:p>
    <w:p w:rsidR="00101AD9" w:rsidRPr="002A5D18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</w:p>
    <w:tbl>
      <w:tblPr>
        <w:tblpPr w:leftFromText="180" w:rightFromText="180" w:vertAnchor="text" w:tblpXSpec="center" w:tblpY="1"/>
        <w:tblOverlap w:val="never"/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161"/>
        <w:gridCol w:w="3509"/>
        <w:gridCol w:w="1002"/>
        <w:gridCol w:w="1000"/>
        <w:gridCol w:w="1496"/>
      </w:tblGrid>
      <w:tr w:rsidR="00101AD9" w:rsidRPr="00101AD9" w:rsidTr="00250FF2">
        <w:trPr>
          <w:trHeight w:val="33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Περιγραφή Είδους</w:t>
            </w:r>
          </w:p>
        </w:tc>
        <w:tc>
          <w:tcPr>
            <w:tcW w:w="3509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101AD9">
              <w:rPr>
                <w:rFonts w:eastAsia="Calibri"/>
                <w:b/>
                <w:bCs/>
                <w:szCs w:val="22"/>
                <w:lang w:val="el-GR" w:eastAsia="en-US"/>
              </w:rPr>
              <w:t>Τεχνικά Χαρακτηριστικά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101AD9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101AD9" w:rsidRPr="00101AD9" w:rsidTr="00250FF2">
        <w:trPr>
          <w:trHeight w:val="66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n-US" w:eastAsia="en-US"/>
              </w:rPr>
              <w:t>1</w:t>
            </w:r>
            <w:r w:rsidRPr="00101AD9">
              <w:rPr>
                <w:rFonts w:eastAsia="Calibri"/>
                <w:szCs w:val="22"/>
                <w:lang w:val="el-GR" w:eastAsia="en-US"/>
              </w:rPr>
              <w:t>3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 xml:space="preserve">Στερεό υποκατάστατο ύδατος για μεταφορά ζωντανών τρωκτικών, ατομικό </w:t>
            </w:r>
            <w:r w:rsidRPr="00101AD9">
              <w:rPr>
                <w:rFonts w:eastAsia="Calibri"/>
                <w:szCs w:val="22"/>
                <w:lang w:val="en-US" w:eastAsia="en-US"/>
              </w:rPr>
              <w:t>gel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βάρους 150γρ.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szCs w:val="22"/>
                <w:lang w:val="el-GR" w:eastAsia="el-GR"/>
              </w:rPr>
              <w:t xml:space="preserve">Υποκατάστατο ύδατος (σύνθεσης 98 - 98,5 % νερό), σε μορφή </w:t>
            </w:r>
            <w:r w:rsidRPr="00101AD9">
              <w:rPr>
                <w:szCs w:val="22"/>
                <w:lang w:val="en-US" w:eastAsia="el-GR"/>
              </w:rPr>
              <w:t>gel</w:t>
            </w:r>
            <w:r w:rsidRPr="00101AD9">
              <w:rPr>
                <w:szCs w:val="22"/>
                <w:lang w:val="el-GR" w:eastAsia="el-GR"/>
              </w:rPr>
              <w:t xml:space="preserve">, κατάλληλο για μεταφορά ζωντανών τρωκτικών εργαστηρίου σε συνθήκες </w:t>
            </w:r>
            <w:r w:rsidRPr="00101AD9">
              <w:rPr>
                <w:szCs w:val="22"/>
                <w:lang w:val="en-US" w:eastAsia="el-GR"/>
              </w:rPr>
              <w:t>SPF</w:t>
            </w:r>
            <w:r w:rsidRPr="00101AD9">
              <w:rPr>
                <w:szCs w:val="22"/>
                <w:lang w:val="el-GR" w:eastAsia="el-GR"/>
              </w:rPr>
              <w:t>, αποστειρωμένο.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Συσκευασία σε κ</w:t>
            </w:r>
            <w:r w:rsidRPr="00101AD9">
              <w:rPr>
                <w:szCs w:val="22"/>
                <w:lang w:val="el-GR" w:eastAsia="el-GR"/>
              </w:rPr>
              <w:t xml:space="preserve">ουβά των 35 </w:t>
            </w:r>
            <w:proofErr w:type="spellStart"/>
            <w:r w:rsidRPr="00101AD9">
              <w:rPr>
                <w:szCs w:val="22"/>
                <w:lang w:val="el-GR" w:eastAsia="el-GR"/>
              </w:rPr>
              <w:t>τμχ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(150 </w:t>
            </w:r>
            <w:proofErr w:type="spellStart"/>
            <w:r w:rsidRPr="00101AD9">
              <w:rPr>
                <w:szCs w:val="22"/>
                <w:lang w:val="el-GR" w:eastAsia="el-GR"/>
              </w:rPr>
              <w:t>γραμ</w:t>
            </w:r>
            <w:proofErr w:type="spellEnd"/>
            <w:r w:rsidRPr="00101AD9">
              <w:rPr>
                <w:szCs w:val="22"/>
                <w:lang w:val="el-GR" w:eastAsia="el-GR"/>
              </w:rPr>
              <w:t>/</w:t>
            </w:r>
            <w:proofErr w:type="spellStart"/>
            <w:r w:rsidRPr="00101AD9">
              <w:rPr>
                <w:szCs w:val="22"/>
                <w:lang w:val="el-GR" w:eastAsia="el-GR"/>
              </w:rPr>
              <w:t>τμχ</w:t>
            </w:r>
            <w:proofErr w:type="spellEnd"/>
            <w:r w:rsidRPr="00101AD9">
              <w:rPr>
                <w:szCs w:val="22"/>
                <w:lang w:val="el-GR" w:eastAsia="el-GR"/>
              </w:rPr>
              <w:t>).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007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100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</w:tr>
      <w:tr w:rsidR="00101AD9" w:rsidRPr="00101AD9" w:rsidTr="00250FF2">
        <w:trPr>
          <w:trHeight w:val="49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n-US" w:eastAsia="en-US"/>
              </w:rPr>
            </w:pPr>
            <w:r w:rsidRPr="00101AD9">
              <w:rPr>
                <w:rFonts w:eastAsia="Calibri"/>
                <w:szCs w:val="22"/>
                <w:lang w:val="en-US" w:eastAsia="en-US"/>
              </w:rPr>
              <w:t>14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 xml:space="preserve">Στερεό υποκατάστατο ύδατος για μεταφορά ζωντανών τρωκτικών, ατομικό </w:t>
            </w:r>
            <w:r w:rsidRPr="00101AD9">
              <w:rPr>
                <w:rFonts w:eastAsia="Calibri"/>
                <w:szCs w:val="22"/>
                <w:lang w:val="en-US" w:eastAsia="en-US"/>
              </w:rPr>
              <w:t>gel</w:t>
            </w:r>
            <w:r w:rsidRPr="00101AD9">
              <w:rPr>
                <w:rFonts w:eastAsia="Calibri"/>
                <w:szCs w:val="22"/>
                <w:lang w:val="el-GR" w:eastAsia="en-US"/>
              </w:rPr>
              <w:t xml:space="preserve"> βάρους 75γρ. 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101AD9">
              <w:rPr>
                <w:szCs w:val="22"/>
                <w:lang w:val="el-GR" w:eastAsia="el-GR"/>
              </w:rPr>
              <w:t xml:space="preserve">Υποκατάστατο ύδατος (σύνθεσης 98 - 98,5 % νερό), σε μορφή </w:t>
            </w:r>
            <w:proofErr w:type="spellStart"/>
            <w:r w:rsidRPr="00101AD9">
              <w:rPr>
                <w:szCs w:val="22"/>
                <w:lang w:val="el-GR" w:eastAsia="el-GR"/>
              </w:rPr>
              <w:t>gel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, κατάλληλο για μεταφορά ζωντανών τρωκτικών εργαστηρίου σε συνθήκες </w:t>
            </w:r>
            <w:r w:rsidRPr="00101AD9">
              <w:rPr>
                <w:szCs w:val="22"/>
                <w:lang w:val="en-US" w:eastAsia="el-GR"/>
              </w:rPr>
              <w:t>SPF</w:t>
            </w:r>
            <w:r w:rsidRPr="00101AD9">
              <w:rPr>
                <w:szCs w:val="22"/>
                <w:lang w:val="el-GR" w:eastAsia="el-GR"/>
              </w:rPr>
              <w:t>, αποστειρωμένο.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01AD9">
              <w:rPr>
                <w:rFonts w:eastAsia="Calibri"/>
                <w:szCs w:val="22"/>
                <w:lang w:val="el-GR" w:eastAsia="en-US"/>
              </w:rPr>
              <w:t>Συσκευασία σε κουβά των</w:t>
            </w:r>
            <w:r w:rsidRPr="00101AD9">
              <w:rPr>
                <w:szCs w:val="22"/>
                <w:lang w:val="el-GR" w:eastAsia="el-GR"/>
              </w:rPr>
              <w:t xml:space="preserve"> 40 </w:t>
            </w:r>
            <w:proofErr w:type="spellStart"/>
            <w:r w:rsidRPr="00101AD9">
              <w:rPr>
                <w:szCs w:val="22"/>
                <w:lang w:val="el-GR" w:eastAsia="el-GR"/>
              </w:rPr>
              <w:t>τμχ</w:t>
            </w:r>
            <w:proofErr w:type="spellEnd"/>
            <w:r w:rsidRPr="00101AD9">
              <w:rPr>
                <w:szCs w:val="22"/>
                <w:lang w:val="el-GR" w:eastAsia="el-GR"/>
              </w:rPr>
              <w:t xml:space="preserve"> (75 </w:t>
            </w:r>
            <w:proofErr w:type="spellStart"/>
            <w:r w:rsidRPr="00101AD9">
              <w:rPr>
                <w:szCs w:val="22"/>
                <w:lang w:val="el-GR" w:eastAsia="el-GR"/>
              </w:rPr>
              <w:t>γραμ</w:t>
            </w:r>
            <w:proofErr w:type="spellEnd"/>
            <w:r w:rsidRPr="00101AD9">
              <w:rPr>
                <w:szCs w:val="22"/>
                <w:lang w:val="el-GR" w:eastAsia="el-GR"/>
              </w:rPr>
              <w:t>/</w:t>
            </w:r>
            <w:proofErr w:type="spellStart"/>
            <w:r w:rsidRPr="00101AD9">
              <w:rPr>
                <w:szCs w:val="22"/>
                <w:lang w:val="el-GR" w:eastAsia="el-GR"/>
              </w:rPr>
              <w:t>τμχ</w:t>
            </w:r>
            <w:proofErr w:type="spellEnd"/>
            <w:r w:rsidRPr="00101AD9">
              <w:rPr>
                <w:szCs w:val="22"/>
                <w:lang w:val="el-GR" w:eastAsia="el-GR"/>
              </w:rPr>
              <w:t>).</w:t>
            </w:r>
          </w:p>
          <w:p w:rsidR="00101AD9" w:rsidRPr="00101AD9" w:rsidRDefault="00101AD9" w:rsidP="00101AD9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07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100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  <w:tc>
          <w:tcPr>
            <w:tcW w:w="1496" w:type="dxa"/>
          </w:tcPr>
          <w:p w:rsidR="00101AD9" w:rsidRPr="00101AD9" w:rsidRDefault="00101AD9" w:rsidP="00101AD9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</w:p>
        </w:tc>
      </w:tr>
    </w:tbl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</w:p>
    <w:p w:rsidR="00101AD9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  <w:r>
        <w:rPr>
          <w:rFonts w:eastAsia="Calibri"/>
          <w:b/>
          <w:bCs/>
          <w:szCs w:val="22"/>
          <w:lang w:val="en-US" w:eastAsia="en-US"/>
        </w:rPr>
        <w:t>5.</w:t>
      </w:r>
      <w:r w:rsidRPr="005A72ED">
        <w:rPr>
          <w:rFonts w:eastAsia="Calibri"/>
          <w:b/>
          <w:bCs/>
          <w:szCs w:val="22"/>
          <w:lang w:val="el-GR" w:eastAsia="en-US"/>
        </w:rPr>
        <w:t>ΥΛΙΚΑ ΑΥΤΟΠΡΟΣΤΑΣΙΑΣ ΕΡΓΑΖΟΜΕΝΩΝ</w:t>
      </w:r>
    </w:p>
    <w:tbl>
      <w:tblPr>
        <w:tblpPr w:leftFromText="180" w:rightFromText="180" w:vertAnchor="text" w:tblpXSpec="center" w:tblpY="1"/>
        <w:tblOverlap w:val="never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69"/>
        <w:gridCol w:w="3261"/>
        <w:gridCol w:w="650"/>
        <w:gridCol w:w="644"/>
        <w:gridCol w:w="1496"/>
      </w:tblGrid>
      <w:tr w:rsidR="00101AD9" w:rsidRPr="005A72ED" w:rsidTr="00250FF2">
        <w:trPr>
          <w:trHeight w:val="298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72ED">
              <w:rPr>
                <w:rFonts w:eastAsia="Calibri"/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72ED">
              <w:rPr>
                <w:rFonts w:eastAsia="Calibri"/>
                <w:b/>
                <w:bCs/>
                <w:szCs w:val="22"/>
                <w:lang w:val="el-GR" w:eastAsia="en-US"/>
              </w:rPr>
              <w:t>Περιγραφή Είδους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5A72ED">
              <w:rPr>
                <w:rFonts w:eastAsia="Calibri"/>
                <w:b/>
                <w:bCs/>
                <w:szCs w:val="22"/>
                <w:lang w:val="el-GR" w:eastAsia="en-US"/>
              </w:rPr>
              <w:t>Τεχνικά Χαρακτηριστικά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01AD9" w:rsidRPr="002A5D18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ΝΑΙ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01AD9" w:rsidRPr="002A5D18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ΟΧΙ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101AD9" w:rsidRPr="002A5D18" w:rsidRDefault="00101AD9" w:rsidP="00250FF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ΠΑΡΑΠΟΜΠΗ</w:t>
            </w:r>
          </w:p>
        </w:tc>
      </w:tr>
      <w:tr w:rsidR="00101AD9" w:rsidRPr="005A72ED" w:rsidTr="00250FF2">
        <w:trPr>
          <w:trHeight w:val="68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>1</w:t>
            </w:r>
            <w:r>
              <w:rPr>
                <w:rFonts w:eastAsia="Calibri"/>
                <w:szCs w:val="22"/>
                <w:lang w:val="el-GR" w:eastAsia="en-US"/>
              </w:rPr>
              <w:t>5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Γάντια </w:t>
            </w:r>
            <w:r w:rsidRPr="005A72ED">
              <w:rPr>
                <w:rFonts w:eastAsia="Calibri"/>
                <w:szCs w:val="22"/>
                <w:lang w:val="en-US" w:eastAsia="en-US"/>
              </w:rPr>
              <w:t>nitrile</w:t>
            </w:r>
            <w:r w:rsidRPr="005A72ED">
              <w:rPr>
                <w:rFonts w:eastAsia="Calibri"/>
                <w:szCs w:val="22"/>
                <w:lang w:val="el-GR" w:eastAsia="en-US"/>
              </w:rPr>
              <w:t xml:space="preserve"> </w:t>
            </w:r>
            <w:r w:rsidRPr="005A72ED">
              <w:rPr>
                <w:rFonts w:eastAsia="Calibri"/>
                <w:szCs w:val="22"/>
                <w:lang w:val="en-US" w:eastAsia="en-US"/>
              </w:rPr>
              <w:t>SMALL</w:t>
            </w:r>
            <w:r w:rsidRPr="005A72ED">
              <w:rPr>
                <w:rFonts w:eastAsia="Calibri"/>
                <w:szCs w:val="22"/>
                <w:lang w:val="el-GR" w:eastAsia="en-US"/>
              </w:rPr>
              <w:t xml:space="preserve"> μιας χρήσεως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ΓΑΝΤΙΑ </w:t>
            </w:r>
            <w:r w:rsidRPr="005A72ED">
              <w:rPr>
                <w:rFonts w:eastAsia="Calibri"/>
                <w:szCs w:val="22"/>
                <w:lang w:val="en-US" w:eastAsia="en-US"/>
              </w:rPr>
              <w:t>NITRILE</w:t>
            </w:r>
            <w:r w:rsidRPr="005A72ED">
              <w:rPr>
                <w:rFonts w:eastAsia="Calibri"/>
                <w:szCs w:val="22"/>
                <w:lang w:val="el-GR" w:eastAsia="en-US"/>
              </w:rPr>
              <w:t xml:space="preserve"> ΧΩΡΙΣ ΠΟΥΔΡΑ ΜΕΓΕΘΟΣ SMALL. Συσκευασία: </w:t>
            </w:r>
            <w:r w:rsidRPr="005A72ED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>. 10Χ100τεμ.</w:t>
            </w:r>
          </w:p>
        </w:tc>
        <w:tc>
          <w:tcPr>
            <w:tcW w:w="742" w:type="dxa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8" w:type="dxa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5A72ED" w:rsidTr="00250FF2">
        <w:trPr>
          <w:trHeight w:val="59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lastRenderedPageBreak/>
              <w:t>16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Γάντια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Latex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 με πούδρα SMALL μιας χρήσεως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SMALL. Συσκευασία: </w:t>
            </w:r>
            <w:r w:rsidRPr="005A72ED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742" w:type="dxa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8" w:type="dxa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5A72ED" w:rsidTr="00250FF2">
        <w:trPr>
          <w:trHeight w:val="443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17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Γάντια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Latex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 με πούδρα MEDIUM μιας χρήσεως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ΓΑΝΤΙΑ ΛΑΤΕΞ ΜΕ ΠΟΥΔΡΑ ΜΕΓΕΘΟΣ </w:t>
            </w:r>
            <w:r w:rsidRPr="005A72ED">
              <w:rPr>
                <w:rFonts w:eastAsia="Calibri"/>
                <w:szCs w:val="22"/>
                <w:lang w:val="en-US" w:eastAsia="en-US"/>
              </w:rPr>
              <w:t>MEDIUM</w:t>
            </w:r>
            <w:r w:rsidRPr="005A72ED">
              <w:rPr>
                <w:rFonts w:eastAsia="Calibri"/>
                <w:szCs w:val="22"/>
                <w:lang w:val="el-GR" w:eastAsia="en-US"/>
              </w:rPr>
              <w:t xml:space="preserve">. Συσκευασία: </w:t>
            </w:r>
            <w:r w:rsidRPr="005A72ED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. 10Χ100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>.</w:t>
            </w:r>
          </w:p>
        </w:tc>
        <w:tc>
          <w:tcPr>
            <w:tcW w:w="742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8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5A72ED" w:rsidTr="00250FF2">
        <w:trPr>
          <w:trHeight w:val="443"/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18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>Μάσκες μιας χρήσεως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Μάσκα 3 Φύλλων Οδοντιατρική με λάστιχο. Συσκευασία: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. 40Χ50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τεμ</w:t>
            </w:r>
            <w:proofErr w:type="spellEnd"/>
          </w:p>
        </w:tc>
        <w:tc>
          <w:tcPr>
            <w:tcW w:w="742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8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5A72ED" w:rsidTr="00250FF2">
        <w:trPr>
          <w:trHeight w:val="443"/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19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 xml:space="preserve">Μάσκες </w:t>
            </w:r>
            <w:r w:rsidRPr="005A72ED">
              <w:rPr>
                <w:rFonts w:eastAsia="Calibri"/>
                <w:szCs w:val="22"/>
                <w:lang w:val="en-US" w:eastAsia="en-US"/>
              </w:rPr>
              <w:t>FFP3V (</w:t>
            </w:r>
            <w:r w:rsidRPr="005A72ED">
              <w:rPr>
                <w:rFonts w:eastAsia="Calibri"/>
                <w:szCs w:val="22"/>
                <w:lang w:val="el-GR" w:eastAsia="en-US"/>
              </w:rPr>
              <w:t>Αύρα) 9932+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>Μάσκες FFP3V (Αύρα) 9932+</w:t>
            </w:r>
          </w:p>
        </w:tc>
        <w:tc>
          <w:tcPr>
            <w:tcW w:w="742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8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101AD9" w:rsidRPr="005A72ED" w:rsidTr="00250FF2">
        <w:trPr>
          <w:trHeight w:val="443"/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20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>Κάλυμμα κεφαλής με λάστιχο μιας χρήσεως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101AD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 w:eastAsia="el-GR"/>
              </w:rPr>
            </w:pPr>
            <w:r w:rsidRPr="005A72ED">
              <w:rPr>
                <w:szCs w:val="22"/>
                <w:lang w:val="el-GR" w:eastAsia="el-GR"/>
              </w:rPr>
              <w:t>Άνετο κάλυμμα κεφαλής (σκουφάκι) προστασίας με λάστιχο</w:t>
            </w:r>
          </w:p>
          <w:p w:rsidR="00101AD9" w:rsidRPr="005A72ED" w:rsidRDefault="00101AD9" w:rsidP="00101AD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 w:eastAsia="el-GR"/>
              </w:rPr>
            </w:pPr>
            <w:r w:rsidRPr="005A72ED">
              <w:rPr>
                <w:szCs w:val="22"/>
                <w:lang w:val="el-GR" w:eastAsia="el-GR"/>
              </w:rPr>
              <w:t xml:space="preserve">Non </w:t>
            </w:r>
            <w:proofErr w:type="spellStart"/>
            <w:r w:rsidRPr="005A72ED">
              <w:rPr>
                <w:szCs w:val="22"/>
                <w:lang w:val="el-GR" w:eastAsia="el-GR"/>
              </w:rPr>
              <w:t>Woven</w:t>
            </w:r>
            <w:proofErr w:type="spellEnd"/>
            <w:r w:rsidRPr="005A72ED">
              <w:rPr>
                <w:szCs w:val="22"/>
                <w:lang w:val="el-GR" w:eastAsia="el-GR"/>
              </w:rPr>
              <w:t xml:space="preserve"> (PPSB)</w:t>
            </w:r>
          </w:p>
          <w:p w:rsidR="00101AD9" w:rsidRPr="005A72ED" w:rsidRDefault="00101AD9" w:rsidP="00101AD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 w:eastAsia="el-GR"/>
              </w:rPr>
            </w:pPr>
            <w:r w:rsidRPr="005A72ED">
              <w:rPr>
                <w:szCs w:val="22"/>
                <w:lang w:val="el-GR" w:eastAsia="el-GR"/>
              </w:rPr>
              <w:t>Λευκό χρώμα </w:t>
            </w:r>
          </w:p>
          <w:p w:rsidR="00101AD9" w:rsidRPr="005A72ED" w:rsidRDefault="00101AD9" w:rsidP="00101AD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 w:eastAsia="el-GR"/>
              </w:rPr>
            </w:pPr>
            <w:r w:rsidRPr="005A72ED">
              <w:rPr>
                <w:szCs w:val="22"/>
                <w:lang w:val="el-GR" w:eastAsia="el-GR"/>
              </w:rPr>
              <w:t>Σε μέγεθος 53 εκ.</w:t>
            </w:r>
          </w:p>
          <w:p w:rsidR="00101AD9" w:rsidRPr="005A72ED" w:rsidRDefault="00101AD9" w:rsidP="00101AD9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uppressAutoHyphens w:val="0"/>
              <w:spacing w:before="100" w:beforeAutospacing="1" w:after="100" w:afterAutospacing="1"/>
              <w:ind w:hanging="692"/>
              <w:jc w:val="left"/>
              <w:rPr>
                <w:szCs w:val="22"/>
                <w:lang w:val="el-GR" w:eastAsia="el-GR"/>
              </w:rPr>
            </w:pPr>
            <w:r w:rsidRPr="005A72ED">
              <w:rPr>
                <w:szCs w:val="22"/>
                <w:lang w:val="el-GR" w:eastAsia="el-GR"/>
              </w:rPr>
              <w:t xml:space="preserve">Ιδανικό για χρήση σε: εργοστάσια, χώρους προστασίας </w:t>
            </w:r>
            <w:proofErr w:type="spellStart"/>
            <w:r w:rsidRPr="005A72ED">
              <w:rPr>
                <w:szCs w:val="22"/>
                <w:lang w:val="el-GR" w:eastAsia="el-GR"/>
              </w:rPr>
              <w:t>τροφίμων,κλπ</w:t>
            </w:r>
            <w:proofErr w:type="spellEnd"/>
            <w:r w:rsidRPr="005A72ED">
              <w:rPr>
                <w:szCs w:val="22"/>
                <w:lang w:val="el-GR" w:eastAsia="el-GR"/>
              </w:rPr>
              <w:t xml:space="preserve">. </w:t>
            </w:r>
          </w:p>
          <w:p w:rsidR="00101AD9" w:rsidRPr="005A72ED" w:rsidRDefault="00101AD9" w:rsidP="00250FF2">
            <w:pPr>
              <w:suppressAutoHyphens w:val="0"/>
              <w:spacing w:before="100" w:beforeAutospacing="1" w:after="100" w:afterAutospacing="1"/>
              <w:jc w:val="left"/>
              <w:rPr>
                <w:szCs w:val="22"/>
                <w:lang w:val="el-GR" w:eastAsia="el-GR"/>
              </w:rPr>
            </w:pPr>
            <w:r w:rsidRPr="005A72ED">
              <w:rPr>
                <w:szCs w:val="22"/>
                <w:lang w:val="el-GR" w:eastAsia="el-GR"/>
              </w:rPr>
              <w:t xml:space="preserve">Συσκευασία: </w:t>
            </w:r>
            <w:proofErr w:type="spellStart"/>
            <w:r w:rsidRPr="005A72ED">
              <w:rPr>
                <w:szCs w:val="22"/>
                <w:lang w:val="el-GR" w:eastAsia="el-GR"/>
              </w:rPr>
              <w:t>κιβ</w:t>
            </w:r>
            <w:proofErr w:type="spellEnd"/>
            <w:r w:rsidRPr="005A72ED">
              <w:rPr>
                <w:szCs w:val="22"/>
                <w:lang w:val="el-GR" w:eastAsia="el-GR"/>
              </w:rPr>
              <w:t xml:space="preserve">. 10Χ100 </w:t>
            </w:r>
            <w:proofErr w:type="spellStart"/>
            <w:r w:rsidRPr="005A72ED">
              <w:rPr>
                <w:szCs w:val="22"/>
                <w:lang w:val="el-GR" w:eastAsia="el-GR"/>
              </w:rPr>
              <w:t>τεμ</w:t>
            </w:r>
            <w:proofErr w:type="spellEnd"/>
            <w:r w:rsidRPr="005A72ED">
              <w:rPr>
                <w:szCs w:val="22"/>
                <w:lang w:val="el-GR" w:eastAsia="el-GR"/>
              </w:rPr>
              <w:t>. </w:t>
            </w:r>
          </w:p>
        </w:tc>
        <w:tc>
          <w:tcPr>
            <w:tcW w:w="742" w:type="dxa"/>
          </w:tcPr>
          <w:p w:rsidR="00101AD9" w:rsidRPr="005A72ED" w:rsidRDefault="00101AD9" w:rsidP="00D713F5">
            <w:pPr>
              <w:suppressAutoHyphens w:val="0"/>
              <w:spacing w:before="100" w:beforeAutospacing="1" w:after="100" w:afterAutospacing="1"/>
              <w:ind w:left="72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38" w:type="dxa"/>
          </w:tcPr>
          <w:p w:rsidR="00101AD9" w:rsidRPr="005A72ED" w:rsidRDefault="00101AD9" w:rsidP="00D713F5">
            <w:pPr>
              <w:suppressAutoHyphens w:val="0"/>
              <w:spacing w:before="100" w:beforeAutospacing="1" w:after="100" w:afterAutospacing="1"/>
              <w:ind w:left="72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496" w:type="dxa"/>
          </w:tcPr>
          <w:p w:rsidR="00101AD9" w:rsidRPr="005A72ED" w:rsidRDefault="00101AD9" w:rsidP="00D713F5">
            <w:pPr>
              <w:suppressAutoHyphens w:val="0"/>
              <w:spacing w:before="100" w:beforeAutospacing="1" w:after="100" w:afterAutospacing="1"/>
              <w:ind w:left="720"/>
              <w:jc w:val="left"/>
              <w:rPr>
                <w:szCs w:val="22"/>
                <w:lang w:val="el-GR" w:eastAsia="el-GR"/>
              </w:rPr>
            </w:pPr>
          </w:p>
        </w:tc>
      </w:tr>
      <w:tr w:rsidR="00101AD9" w:rsidRPr="005A72ED" w:rsidTr="00250FF2">
        <w:trPr>
          <w:trHeight w:val="443"/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l-GR" w:eastAsia="en-US"/>
              </w:rPr>
            </w:pPr>
            <w:r>
              <w:rPr>
                <w:rFonts w:eastAsia="Calibri"/>
                <w:szCs w:val="22"/>
                <w:lang w:val="el-GR" w:eastAsia="en-US"/>
              </w:rPr>
              <w:t>21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jc w:val="left"/>
              <w:rPr>
                <w:rFonts w:eastAsia="Calibri"/>
                <w:szCs w:val="22"/>
                <w:lang w:val="en-US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>Καλύμματα υποδημάτων (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ποδονάρια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Ποδονάρια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 xml:space="preserve"> αντιολισθητικά πλαστικά μίας χρήσης. </w:t>
            </w:r>
          </w:p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  <w:r w:rsidRPr="005A72ED">
              <w:rPr>
                <w:rFonts w:eastAsia="Calibri"/>
                <w:szCs w:val="22"/>
                <w:lang w:val="el-GR" w:eastAsia="en-US"/>
              </w:rPr>
              <w:t>Συσκευασία</w:t>
            </w:r>
            <w:r w:rsidRPr="005A72ED">
              <w:rPr>
                <w:rFonts w:eastAsia="Calibri"/>
                <w:szCs w:val="22"/>
                <w:lang w:val="en-US" w:eastAsia="en-US"/>
              </w:rPr>
              <w:t xml:space="preserve">: </w:t>
            </w:r>
            <w:proofErr w:type="spellStart"/>
            <w:r w:rsidRPr="005A72ED">
              <w:rPr>
                <w:rFonts w:eastAsia="Calibri"/>
                <w:szCs w:val="22"/>
                <w:lang w:val="el-GR" w:eastAsia="en-US"/>
              </w:rPr>
              <w:t>κιβ</w:t>
            </w:r>
            <w:proofErr w:type="spellEnd"/>
            <w:r w:rsidRPr="005A72ED">
              <w:rPr>
                <w:rFonts w:eastAsia="Calibri"/>
                <w:szCs w:val="22"/>
                <w:lang w:val="el-GR" w:eastAsia="en-US"/>
              </w:rPr>
              <w:t>. 20Χ100τεμ</w:t>
            </w:r>
          </w:p>
        </w:tc>
        <w:tc>
          <w:tcPr>
            <w:tcW w:w="742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8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96" w:type="dxa"/>
          </w:tcPr>
          <w:p w:rsidR="00101AD9" w:rsidRPr="005A72ED" w:rsidRDefault="00101AD9" w:rsidP="00250FF2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:rsidR="00101AD9" w:rsidRPr="005A72ED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</w:p>
    <w:p w:rsidR="00101AD9" w:rsidRPr="005A72ED" w:rsidRDefault="00101AD9" w:rsidP="00101AD9">
      <w:pPr>
        <w:suppressAutoHyphens w:val="0"/>
        <w:spacing w:after="160" w:line="259" w:lineRule="auto"/>
        <w:jc w:val="left"/>
        <w:rPr>
          <w:rFonts w:eastAsia="Calibri"/>
          <w:b/>
          <w:bCs/>
          <w:szCs w:val="22"/>
          <w:lang w:val="el-GR" w:eastAsia="en-US"/>
        </w:rPr>
      </w:pPr>
    </w:p>
    <w:p w:rsidR="00101AD9" w:rsidRPr="00101AD9" w:rsidRDefault="00101AD9">
      <w:pPr>
        <w:rPr>
          <w:lang w:val="el-GR"/>
        </w:rPr>
      </w:pPr>
    </w:p>
    <w:sectPr w:rsidR="00101AD9" w:rsidRPr="0010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BF3"/>
    <w:multiLevelType w:val="multilevel"/>
    <w:tmpl w:val="2C8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D9"/>
    <w:rsid w:val="00101AD9"/>
    <w:rsid w:val="00204EC6"/>
    <w:rsid w:val="004D5578"/>
    <w:rsid w:val="007B4CBE"/>
    <w:rsid w:val="00D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EC74-8B58-4B81-8127-4810C68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D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</w:pPr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2023-03-20T08:53:00Z</dcterms:created>
  <dcterms:modified xsi:type="dcterms:W3CDTF">2023-03-20T08:53:00Z</dcterms:modified>
</cp:coreProperties>
</file>