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48" w:rsidRPr="00A62948" w:rsidRDefault="00A62948">
      <w:pPr>
        <w:rPr>
          <w:b/>
          <w:u w:val="single"/>
          <w:lang w:val="el-GR"/>
        </w:rPr>
      </w:pPr>
      <w:r w:rsidRPr="00A62948">
        <w:rPr>
          <w:b/>
          <w:u w:val="single"/>
          <w:lang w:val="el-GR"/>
        </w:rPr>
        <w:t>ΦΥΛΛΟ ΣΥΜΜΟΡΦΩΣΗΣ</w:t>
      </w:r>
    </w:p>
    <w:p w:rsidR="00A62948" w:rsidRDefault="00A6294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991"/>
        <w:gridCol w:w="614"/>
        <w:gridCol w:w="617"/>
        <w:gridCol w:w="1496"/>
      </w:tblGrid>
      <w:tr w:rsidR="00A62948" w:rsidRPr="00917E1B" w:rsidTr="00A62948">
        <w:trPr>
          <w:trHeight w:val="539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917E1B">
              <w:rPr>
                <w:b/>
                <w:bCs/>
                <w:color w:val="000000"/>
                <w:szCs w:val="22"/>
                <w:lang w:val="el-GR" w:eastAsia="el-GR"/>
              </w:rPr>
              <w:t>Ομάδα 1 (Προσφορά για το σύνολο των προϊόντων)</w:t>
            </w:r>
          </w:p>
        </w:tc>
      </w:tr>
      <w:tr w:rsidR="00A62948" w:rsidRPr="00917E1B" w:rsidTr="00A62948">
        <w:trPr>
          <w:trHeight w:val="744"/>
        </w:trPr>
        <w:tc>
          <w:tcPr>
            <w:tcW w:w="294" w:type="pct"/>
            <w:shd w:val="clear" w:color="auto" w:fill="F2F2F2" w:themeFill="background1" w:themeFillShade="F2"/>
            <w:noWrap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917E1B">
              <w:rPr>
                <w:b/>
                <w:bCs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3069" w:type="pct"/>
            <w:shd w:val="clear" w:color="auto" w:fill="F2F2F2" w:themeFill="background1" w:themeFillShade="F2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917E1B">
              <w:rPr>
                <w:b/>
                <w:bCs/>
                <w:szCs w:val="22"/>
                <w:lang w:val="el-GR" w:eastAsia="el-GR"/>
              </w:rPr>
              <w:t>Τεχνικά χαρακτηριστικά</w:t>
            </w:r>
          </w:p>
        </w:tc>
        <w:tc>
          <w:tcPr>
            <w:tcW w:w="431" w:type="pct"/>
            <w:shd w:val="clear" w:color="auto" w:fill="F2F2F2" w:themeFill="background1" w:themeFillShade="F2"/>
          </w:tcPr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433" w:type="pct"/>
            <w:shd w:val="clear" w:color="auto" w:fill="F2F2F2" w:themeFill="background1" w:themeFillShade="F2"/>
          </w:tcPr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ΟΧΙ</w:t>
            </w:r>
          </w:p>
        </w:tc>
        <w:tc>
          <w:tcPr>
            <w:tcW w:w="773" w:type="pct"/>
            <w:shd w:val="clear" w:color="auto" w:fill="F2F2F2" w:themeFill="background1" w:themeFillShade="F2"/>
          </w:tcPr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ΠΑΡΑΠΟΜΠΗ</w:t>
            </w:r>
          </w:p>
        </w:tc>
      </w:tr>
      <w:tr w:rsidR="00A62948" w:rsidRPr="00917E1B" w:rsidTr="00E336FF">
        <w:trPr>
          <w:trHeight w:val="699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3069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proofErr w:type="spellStart"/>
            <w:r w:rsidRPr="00917E1B">
              <w:rPr>
                <w:szCs w:val="22"/>
                <w:lang w:val="el-GR" w:eastAsia="el-GR"/>
              </w:rPr>
              <w:t>Yeast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nitrogen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base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, </w:t>
            </w:r>
            <w:proofErr w:type="spellStart"/>
            <w:r w:rsidRPr="00917E1B">
              <w:rPr>
                <w:szCs w:val="22"/>
                <w:lang w:val="el-GR" w:eastAsia="el-GR"/>
              </w:rPr>
              <w:t>wthout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amino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acids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, με σύσταση: </w:t>
            </w:r>
            <w:proofErr w:type="spellStart"/>
            <w:r w:rsidRPr="00917E1B">
              <w:rPr>
                <w:szCs w:val="22"/>
                <w:lang w:val="el-GR" w:eastAsia="el-GR"/>
              </w:rPr>
              <w:t>Ammonium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sulfate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5 g/L, </w:t>
            </w:r>
            <w:proofErr w:type="spellStart"/>
            <w:r w:rsidRPr="00917E1B">
              <w:rPr>
                <w:szCs w:val="22"/>
                <w:lang w:val="el-GR" w:eastAsia="el-GR"/>
              </w:rPr>
              <w:t>Calcium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chloride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0.1 g/L, </w:t>
            </w:r>
            <w:proofErr w:type="spellStart"/>
            <w:r w:rsidRPr="00917E1B">
              <w:rPr>
                <w:szCs w:val="22"/>
                <w:lang w:val="el-GR" w:eastAsia="el-GR"/>
              </w:rPr>
              <w:t>Ferric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chloride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0.0002 g/L, </w:t>
            </w:r>
            <w:proofErr w:type="spellStart"/>
            <w:r w:rsidRPr="00917E1B">
              <w:rPr>
                <w:szCs w:val="22"/>
                <w:lang w:val="el-GR" w:eastAsia="el-GR"/>
              </w:rPr>
              <w:t>Magnesium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sulfate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0.5 g/L, </w:t>
            </w:r>
            <w:proofErr w:type="spellStart"/>
            <w:r w:rsidRPr="00917E1B">
              <w:rPr>
                <w:szCs w:val="22"/>
                <w:lang w:val="el-GR" w:eastAsia="el-GR"/>
              </w:rPr>
              <w:t>Monopotassium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phosphate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1 g/L, P-</w:t>
            </w:r>
            <w:proofErr w:type="spellStart"/>
            <w:r w:rsidRPr="00917E1B">
              <w:rPr>
                <w:szCs w:val="22"/>
                <w:lang w:val="el-GR" w:eastAsia="el-GR"/>
              </w:rPr>
              <w:t>Aminobenzoic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acid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0.0002 g/L, </w:t>
            </w:r>
            <w:proofErr w:type="spellStart"/>
            <w:r w:rsidRPr="00917E1B">
              <w:rPr>
                <w:szCs w:val="22"/>
                <w:lang w:val="el-GR" w:eastAsia="el-GR"/>
              </w:rPr>
              <w:t>Pyridoxine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hydrochloride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0.0004 g/L, </w:t>
            </w:r>
            <w:proofErr w:type="spellStart"/>
            <w:r w:rsidRPr="00917E1B">
              <w:rPr>
                <w:szCs w:val="22"/>
                <w:lang w:val="el-GR" w:eastAsia="el-GR"/>
              </w:rPr>
              <w:t>Sodium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chloride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0.1 g/L, </w:t>
            </w:r>
            <w:proofErr w:type="spellStart"/>
            <w:r w:rsidRPr="00917E1B">
              <w:rPr>
                <w:szCs w:val="22"/>
                <w:lang w:val="el-GR" w:eastAsia="el-GR"/>
              </w:rPr>
              <w:t>Thiamine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hydrochloride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0.0004 g/L, Copper </w:t>
            </w:r>
            <w:proofErr w:type="spellStart"/>
            <w:r w:rsidRPr="00917E1B">
              <w:rPr>
                <w:szCs w:val="22"/>
                <w:lang w:val="el-GR" w:eastAsia="el-GR"/>
              </w:rPr>
              <w:t>sulfate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0.04 </w:t>
            </w:r>
            <w:proofErr w:type="spellStart"/>
            <w:r w:rsidRPr="00917E1B">
              <w:rPr>
                <w:szCs w:val="22"/>
                <w:lang w:val="el-GR" w:eastAsia="el-GR"/>
              </w:rPr>
              <w:t>mg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/L, </w:t>
            </w:r>
            <w:proofErr w:type="spellStart"/>
            <w:r w:rsidRPr="00917E1B">
              <w:rPr>
                <w:szCs w:val="22"/>
                <w:lang w:val="el-GR" w:eastAsia="el-GR"/>
              </w:rPr>
              <w:t>Biotin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0.002 </w:t>
            </w:r>
            <w:proofErr w:type="spellStart"/>
            <w:r w:rsidRPr="00917E1B">
              <w:rPr>
                <w:szCs w:val="22"/>
                <w:lang w:val="el-GR" w:eastAsia="el-GR"/>
              </w:rPr>
              <w:t>mg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/L, </w:t>
            </w:r>
            <w:proofErr w:type="spellStart"/>
            <w:r w:rsidRPr="00917E1B">
              <w:rPr>
                <w:szCs w:val="22"/>
                <w:lang w:val="el-GR" w:eastAsia="el-GR"/>
              </w:rPr>
              <w:t>Boric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acid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0.0005 g/L, </w:t>
            </w:r>
            <w:proofErr w:type="spellStart"/>
            <w:r w:rsidRPr="00917E1B">
              <w:rPr>
                <w:szCs w:val="22"/>
                <w:lang w:val="el-GR" w:eastAsia="el-GR"/>
              </w:rPr>
              <w:t>Calcium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patothenate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0.0004 g/L, </w:t>
            </w:r>
            <w:proofErr w:type="spellStart"/>
            <w:r w:rsidRPr="00917E1B">
              <w:rPr>
                <w:szCs w:val="22"/>
                <w:lang w:val="el-GR" w:eastAsia="el-GR"/>
              </w:rPr>
              <w:t>Inositol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0.002 g/L, </w:t>
            </w:r>
            <w:proofErr w:type="spellStart"/>
            <w:r w:rsidRPr="00917E1B">
              <w:rPr>
                <w:szCs w:val="22"/>
                <w:lang w:val="el-GR" w:eastAsia="el-GR"/>
              </w:rPr>
              <w:t>Manganase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sulfate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0.0004 g/L, </w:t>
            </w:r>
            <w:proofErr w:type="spellStart"/>
            <w:r w:rsidRPr="00917E1B">
              <w:rPr>
                <w:szCs w:val="22"/>
                <w:lang w:val="el-GR" w:eastAsia="el-GR"/>
              </w:rPr>
              <w:t>Niacin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0.0004 g/L, </w:t>
            </w:r>
            <w:proofErr w:type="spellStart"/>
            <w:r w:rsidRPr="00917E1B">
              <w:rPr>
                <w:szCs w:val="22"/>
                <w:lang w:val="el-GR" w:eastAsia="el-GR"/>
              </w:rPr>
              <w:t>Potassium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iodide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0.0001 g/L, </w:t>
            </w:r>
            <w:proofErr w:type="spellStart"/>
            <w:r w:rsidRPr="00917E1B">
              <w:rPr>
                <w:szCs w:val="22"/>
                <w:lang w:val="el-GR" w:eastAsia="el-GR"/>
              </w:rPr>
              <w:t>Riboflavin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0.0002 g/L, </w:t>
            </w:r>
            <w:proofErr w:type="spellStart"/>
            <w:r w:rsidRPr="00917E1B">
              <w:rPr>
                <w:szCs w:val="22"/>
                <w:lang w:val="el-GR" w:eastAsia="el-GR"/>
              </w:rPr>
              <w:t>Sodium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molybdate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0.0002 g/L, </w:t>
            </w:r>
            <w:proofErr w:type="spellStart"/>
            <w:r w:rsidRPr="00917E1B">
              <w:rPr>
                <w:szCs w:val="22"/>
                <w:lang w:val="el-GR" w:eastAsia="el-GR"/>
              </w:rPr>
              <w:t>Zinc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sulfate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0.0004 g/L, </w:t>
            </w:r>
            <w:proofErr w:type="spellStart"/>
            <w:r w:rsidRPr="00917E1B">
              <w:rPr>
                <w:szCs w:val="22"/>
                <w:lang w:val="el-GR" w:eastAsia="el-GR"/>
              </w:rPr>
              <w:t>Folic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acid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0.002 </w:t>
            </w:r>
            <w:proofErr w:type="spellStart"/>
            <w:r w:rsidRPr="00917E1B">
              <w:rPr>
                <w:szCs w:val="22"/>
                <w:lang w:val="el-GR" w:eastAsia="el-GR"/>
              </w:rPr>
              <w:t>mg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/L. Συσκευασία 500 </w:t>
            </w:r>
            <w:proofErr w:type="spellStart"/>
            <w:r w:rsidRPr="00917E1B">
              <w:rPr>
                <w:szCs w:val="22"/>
                <w:lang w:val="el-GR" w:eastAsia="el-GR"/>
              </w:rPr>
              <w:t>gr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. 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A62948" w:rsidRPr="00917E1B" w:rsidTr="00E336FF">
        <w:trPr>
          <w:trHeight w:val="1800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3069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  <w:r w:rsidRPr="00917E1B">
              <w:rPr>
                <w:szCs w:val="22"/>
                <w:lang w:val="en-US" w:eastAsia="el-GR"/>
              </w:rPr>
              <w:t>Amino nitrogen (AN) 3,5 %</w:t>
            </w:r>
            <w:r w:rsidRPr="00917E1B">
              <w:rPr>
                <w:szCs w:val="22"/>
                <w:lang w:val="en-US" w:eastAsia="el-GR"/>
              </w:rPr>
              <w:br/>
              <w:t>Total nitrogen (TN) 15,48 %</w:t>
            </w:r>
            <w:r w:rsidRPr="00917E1B">
              <w:rPr>
                <w:szCs w:val="22"/>
                <w:lang w:val="en-US" w:eastAsia="el-GR"/>
              </w:rPr>
              <w:br/>
              <w:t>Loss on drying 3,00 %</w:t>
            </w:r>
            <w:r w:rsidRPr="00917E1B">
              <w:rPr>
                <w:szCs w:val="22"/>
                <w:lang w:val="en-US" w:eastAsia="el-GR"/>
              </w:rPr>
              <w:br/>
              <w:t>AN/TN Ratio  22,6 %</w:t>
            </w:r>
            <w:r w:rsidRPr="00917E1B">
              <w:rPr>
                <w:szCs w:val="22"/>
                <w:lang w:val="en-US" w:eastAsia="el-GR"/>
              </w:rPr>
              <w:br/>
              <w:t>Ash 4,2 %</w:t>
            </w:r>
            <w:r w:rsidRPr="00917E1B">
              <w:rPr>
                <w:szCs w:val="22"/>
                <w:lang w:val="en-US" w:eastAsia="el-GR"/>
              </w:rPr>
              <w:br/>
              <w:t>pH (2% solution) 6,9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</w:p>
        </w:tc>
      </w:tr>
      <w:tr w:rsidR="00A62948" w:rsidRPr="00917E1B" w:rsidTr="00E336FF">
        <w:trPr>
          <w:trHeight w:val="2100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3</w:t>
            </w:r>
          </w:p>
        </w:tc>
        <w:tc>
          <w:tcPr>
            <w:tcW w:w="3069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  <w:r w:rsidRPr="00917E1B">
              <w:rPr>
                <w:szCs w:val="22"/>
                <w:lang w:val="en-US" w:eastAsia="el-GR"/>
              </w:rPr>
              <w:t>Ash &lt;16%</w:t>
            </w:r>
            <w:r w:rsidRPr="00917E1B">
              <w:rPr>
                <w:szCs w:val="22"/>
                <w:lang w:val="en-US" w:eastAsia="el-GR"/>
              </w:rPr>
              <w:br/>
              <w:t>Amino Nitrogen (AN) &gt;4,5%</w:t>
            </w:r>
            <w:r w:rsidRPr="00917E1B">
              <w:rPr>
                <w:szCs w:val="22"/>
                <w:lang w:val="en-US" w:eastAsia="el-GR"/>
              </w:rPr>
              <w:br/>
              <w:t>Total Nitrogen (TN) &gt;10%</w:t>
            </w:r>
            <w:r w:rsidRPr="00917E1B">
              <w:rPr>
                <w:szCs w:val="22"/>
                <w:lang w:val="en-US" w:eastAsia="el-GR"/>
              </w:rPr>
              <w:br/>
              <w:t>pH 6,8-7,2</w:t>
            </w:r>
            <w:r w:rsidRPr="00917E1B">
              <w:rPr>
                <w:szCs w:val="22"/>
                <w:lang w:val="en-US" w:eastAsia="el-GR"/>
              </w:rPr>
              <w:br/>
              <w:t xml:space="preserve">Chlorides (as </w:t>
            </w:r>
            <w:proofErr w:type="spellStart"/>
            <w:r w:rsidRPr="00917E1B">
              <w:rPr>
                <w:szCs w:val="22"/>
                <w:lang w:val="en-US" w:eastAsia="el-GR"/>
              </w:rPr>
              <w:t>NaCl</w:t>
            </w:r>
            <w:proofErr w:type="spellEnd"/>
            <w:r w:rsidRPr="00917E1B">
              <w:rPr>
                <w:szCs w:val="22"/>
                <w:lang w:val="en-US" w:eastAsia="el-GR"/>
              </w:rPr>
              <w:t>) &lt;0,5%</w:t>
            </w:r>
            <w:r w:rsidRPr="00917E1B">
              <w:rPr>
                <w:szCs w:val="22"/>
                <w:lang w:val="en-US" w:eastAsia="el-GR"/>
              </w:rPr>
              <w:br/>
              <w:t>Dry matter &gt;94%</w:t>
            </w:r>
            <w:r w:rsidRPr="00917E1B">
              <w:rPr>
                <w:szCs w:val="22"/>
                <w:lang w:val="en-US" w:eastAsia="el-GR"/>
              </w:rPr>
              <w:br/>
              <w:t>Proteins &gt;62,5%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</w:p>
        </w:tc>
      </w:tr>
      <w:tr w:rsidR="00A62948" w:rsidRPr="00917E1B" w:rsidTr="00E336FF">
        <w:trPr>
          <w:trHeight w:val="699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4</w:t>
            </w:r>
          </w:p>
        </w:tc>
        <w:tc>
          <w:tcPr>
            <w:tcW w:w="3069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917E1B">
              <w:rPr>
                <w:szCs w:val="22"/>
                <w:lang w:val="el-GR" w:eastAsia="el-GR"/>
              </w:rPr>
              <w:t xml:space="preserve">Φίλτρα μεμβράνης διήθησης υδρόφιλα τύπου PVDF με μέγεθος πόρου 0.22μm και διάμετρο 142mm, με τα παρακάτω τεχνικά χαρακτηριστικά:  </w:t>
            </w:r>
            <w:r w:rsidRPr="00917E1B">
              <w:rPr>
                <w:szCs w:val="22"/>
                <w:lang w:val="el-GR" w:eastAsia="el-GR"/>
              </w:rPr>
              <w:br/>
              <w:t xml:space="preserve">Air </w:t>
            </w:r>
            <w:proofErr w:type="spellStart"/>
            <w:r w:rsidRPr="00917E1B">
              <w:rPr>
                <w:szCs w:val="22"/>
                <w:lang w:val="el-GR" w:eastAsia="el-GR"/>
              </w:rPr>
              <w:t>Flow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Rate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2 L/</w:t>
            </w:r>
            <w:proofErr w:type="spellStart"/>
            <w:r w:rsidRPr="00917E1B">
              <w:rPr>
                <w:szCs w:val="22"/>
                <w:lang w:val="el-GR" w:eastAsia="el-GR"/>
              </w:rPr>
              <w:t>min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x cm² </w:t>
            </w:r>
            <w:r w:rsidRPr="00917E1B">
              <w:rPr>
                <w:szCs w:val="22"/>
                <w:lang w:val="el-GR" w:eastAsia="el-GR"/>
              </w:rPr>
              <w:br/>
            </w:r>
            <w:proofErr w:type="spellStart"/>
            <w:r w:rsidRPr="00917E1B">
              <w:rPr>
                <w:szCs w:val="22"/>
                <w:lang w:val="el-GR" w:eastAsia="el-GR"/>
              </w:rPr>
              <w:t>Bubble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Point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at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23 °C ≥3.45 </w:t>
            </w:r>
            <w:proofErr w:type="spellStart"/>
            <w:r w:rsidRPr="00917E1B">
              <w:rPr>
                <w:szCs w:val="22"/>
                <w:lang w:val="el-GR" w:eastAsia="el-GR"/>
              </w:rPr>
              <w:t>bar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, </w:t>
            </w:r>
            <w:proofErr w:type="spellStart"/>
            <w:r w:rsidRPr="00917E1B">
              <w:rPr>
                <w:szCs w:val="22"/>
                <w:lang w:val="el-GR" w:eastAsia="el-GR"/>
              </w:rPr>
              <w:t>air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with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water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r w:rsidRPr="00917E1B">
              <w:rPr>
                <w:szCs w:val="22"/>
                <w:lang w:val="el-GR" w:eastAsia="el-GR"/>
              </w:rPr>
              <w:br/>
            </w:r>
            <w:proofErr w:type="spellStart"/>
            <w:r w:rsidRPr="00917E1B">
              <w:rPr>
                <w:szCs w:val="22"/>
                <w:lang w:val="el-GR" w:eastAsia="el-GR"/>
              </w:rPr>
              <w:t>Gravimetric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Extractables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0.5% </w:t>
            </w:r>
            <w:r w:rsidRPr="00917E1B">
              <w:rPr>
                <w:szCs w:val="22"/>
                <w:lang w:val="el-GR" w:eastAsia="el-GR"/>
              </w:rPr>
              <w:br/>
            </w:r>
            <w:proofErr w:type="spellStart"/>
            <w:r w:rsidRPr="00917E1B">
              <w:rPr>
                <w:szCs w:val="22"/>
                <w:lang w:val="el-GR" w:eastAsia="el-GR"/>
              </w:rPr>
              <w:t>Porosity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%: 70% </w:t>
            </w:r>
            <w:r w:rsidRPr="00917E1B">
              <w:rPr>
                <w:szCs w:val="22"/>
                <w:lang w:val="el-GR" w:eastAsia="el-GR"/>
              </w:rPr>
              <w:br/>
            </w:r>
            <w:proofErr w:type="spellStart"/>
            <w:r w:rsidRPr="00917E1B">
              <w:rPr>
                <w:szCs w:val="22"/>
                <w:lang w:val="el-GR" w:eastAsia="el-GR"/>
              </w:rPr>
              <w:t>Water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Flow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Rate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&gt;1 </w:t>
            </w:r>
            <w:proofErr w:type="spellStart"/>
            <w:r w:rsidRPr="00917E1B">
              <w:rPr>
                <w:szCs w:val="22"/>
                <w:lang w:val="el-GR" w:eastAsia="el-GR"/>
              </w:rPr>
              <w:t>mL</w:t>
            </w:r>
            <w:proofErr w:type="spellEnd"/>
            <w:r w:rsidRPr="00917E1B">
              <w:rPr>
                <w:szCs w:val="22"/>
                <w:lang w:val="el-GR" w:eastAsia="el-GR"/>
              </w:rPr>
              <w:t>/</w:t>
            </w:r>
            <w:proofErr w:type="spellStart"/>
            <w:r w:rsidRPr="00917E1B">
              <w:rPr>
                <w:szCs w:val="22"/>
                <w:lang w:val="el-GR" w:eastAsia="el-GR"/>
              </w:rPr>
              <w:t>min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x cm² </w:t>
            </w:r>
            <w:r w:rsidRPr="00917E1B">
              <w:rPr>
                <w:szCs w:val="22"/>
                <w:lang w:val="el-GR" w:eastAsia="el-GR"/>
              </w:rPr>
              <w:br/>
            </w:r>
            <w:proofErr w:type="spellStart"/>
            <w:r w:rsidRPr="00917E1B">
              <w:rPr>
                <w:szCs w:val="22"/>
                <w:lang w:val="el-GR" w:eastAsia="el-GR"/>
              </w:rPr>
              <w:lastRenderedPageBreak/>
              <w:t>Thickness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125 µm  Μέγιστη Θερμοκρασία Λειτουργίας : 85 C. 50 τεμάχια/συσκευασία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A62948" w:rsidRPr="00917E1B" w:rsidTr="00E336FF">
        <w:trPr>
          <w:trHeight w:val="2400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lastRenderedPageBreak/>
              <w:t>5</w:t>
            </w:r>
          </w:p>
        </w:tc>
        <w:tc>
          <w:tcPr>
            <w:tcW w:w="3069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917E1B">
              <w:rPr>
                <w:szCs w:val="22"/>
                <w:lang w:val="el-GR" w:eastAsia="el-GR"/>
              </w:rPr>
              <w:t xml:space="preserve">Φίλτρα μεμβράνης διήθησης υδρόφιλα τύπου PVDF με μέγεθος πόρου 0.45μm και διάμετρο 142mm, με τα παρακάτω τεχνικά χαρακτηριστικά:  </w:t>
            </w:r>
            <w:r w:rsidRPr="00917E1B">
              <w:rPr>
                <w:szCs w:val="22"/>
                <w:lang w:val="el-GR" w:eastAsia="el-GR"/>
              </w:rPr>
              <w:br/>
              <w:t xml:space="preserve">Air </w:t>
            </w:r>
            <w:proofErr w:type="spellStart"/>
            <w:r w:rsidRPr="00917E1B">
              <w:rPr>
                <w:szCs w:val="22"/>
                <w:lang w:val="el-GR" w:eastAsia="el-GR"/>
              </w:rPr>
              <w:t>Flow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Rate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2 L/</w:t>
            </w:r>
            <w:proofErr w:type="spellStart"/>
            <w:r w:rsidRPr="00917E1B">
              <w:rPr>
                <w:szCs w:val="22"/>
                <w:lang w:val="el-GR" w:eastAsia="el-GR"/>
              </w:rPr>
              <w:t>min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x cm² </w:t>
            </w:r>
            <w:r w:rsidRPr="00917E1B">
              <w:rPr>
                <w:szCs w:val="22"/>
                <w:lang w:val="el-GR" w:eastAsia="el-GR"/>
              </w:rPr>
              <w:br/>
            </w:r>
            <w:proofErr w:type="spellStart"/>
            <w:r w:rsidRPr="00917E1B">
              <w:rPr>
                <w:szCs w:val="22"/>
                <w:lang w:val="el-GR" w:eastAsia="el-GR"/>
              </w:rPr>
              <w:t>Bubble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Point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at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23 °C ≥3.45 </w:t>
            </w:r>
            <w:proofErr w:type="spellStart"/>
            <w:r w:rsidRPr="00917E1B">
              <w:rPr>
                <w:szCs w:val="22"/>
                <w:lang w:val="el-GR" w:eastAsia="el-GR"/>
              </w:rPr>
              <w:t>bar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, </w:t>
            </w:r>
            <w:proofErr w:type="spellStart"/>
            <w:r w:rsidRPr="00917E1B">
              <w:rPr>
                <w:szCs w:val="22"/>
                <w:lang w:val="el-GR" w:eastAsia="el-GR"/>
              </w:rPr>
              <w:t>air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with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water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r w:rsidRPr="00917E1B">
              <w:rPr>
                <w:szCs w:val="22"/>
                <w:lang w:val="el-GR" w:eastAsia="el-GR"/>
              </w:rPr>
              <w:br/>
            </w:r>
            <w:proofErr w:type="spellStart"/>
            <w:r w:rsidRPr="00917E1B">
              <w:rPr>
                <w:szCs w:val="22"/>
                <w:lang w:val="el-GR" w:eastAsia="el-GR"/>
              </w:rPr>
              <w:t>Gravimetric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Extractables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0.5% </w:t>
            </w:r>
            <w:r w:rsidRPr="00917E1B">
              <w:rPr>
                <w:szCs w:val="22"/>
                <w:lang w:val="el-GR" w:eastAsia="el-GR"/>
              </w:rPr>
              <w:br/>
            </w:r>
            <w:proofErr w:type="spellStart"/>
            <w:r w:rsidRPr="00917E1B">
              <w:rPr>
                <w:szCs w:val="22"/>
                <w:lang w:val="el-GR" w:eastAsia="el-GR"/>
              </w:rPr>
              <w:t>Porosity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%: 70% </w:t>
            </w:r>
            <w:r w:rsidRPr="00917E1B">
              <w:rPr>
                <w:szCs w:val="22"/>
                <w:lang w:val="el-GR" w:eastAsia="el-GR"/>
              </w:rPr>
              <w:br/>
            </w:r>
            <w:proofErr w:type="spellStart"/>
            <w:r w:rsidRPr="00917E1B">
              <w:rPr>
                <w:szCs w:val="22"/>
                <w:lang w:val="el-GR" w:eastAsia="el-GR"/>
              </w:rPr>
              <w:t>Water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Flow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Rate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&gt;1 </w:t>
            </w:r>
            <w:proofErr w:type="spellStart"/>
            <w:r w:rsidRPr="00917E1B">
              <w:rPr>
                <w:szCs w:val="22"/>
                <w:lang w:val="el-GR" w:eastAsia="el-GR"/>
              </w:rPr>
              <w:t>mL</w:t>
            </w:r>
            <w:proofErr w:type="spellEnd"/>
            <w:r w:rsidRPr="00917E1B">
              <w:rPr>
                <w:szCs w:val="22"/>
                <w:lang w:val="el-GR" w:eastAsia="el-GR"/>
              </w:rPr>
              <w:t>/</w:t>
            </w:r>
            <w:proofErr w:type="spellStart"/>
            <w:r w:rsidRPr="00917E1B">
              <w:rPr>
                <w:szCs w:val="22"/>
                <w:lang w:val="el-GR" w:eastAsia="el-GR"/>
              </w:rPr>
              <w:t>min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x cm² </w:t>
            </w:r>
            <w:r w:rsidRPr="00917E1B">
              <w:rPr>
                <w:szCs w:val="22"/>
                <w:lang w:val="el-GR" w:eastAsia="el-GR"/>
              </w:rPr>
              <w:br/>
            </w:r>
            <w:proofErr w:type="spellStart"/>
            <w:r w:rsidRPr="00917E1B">
              <w:rPr>
                <w:szCs w:val="22"/>
                <w:lang w:val="el-GR" w:eastAsia="el-GR"/>
              </w:rPr>
              <w:t>Thickness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125 µm  Μέγιστη Θερμοκρασία Λειτουργίας : 85 C. 50 τεμάχια/συσκευασία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A62948" w:rsidRPr="00917E1B" w:rsidTr="00E336FF">
        <w:trPr>
          <w:trHeight w:val="1200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6</w:t>
            </w:r>
          </w:p>
        </w:tc>
        <w:tc>
          <w:tcPr>
            <w:tcW w:w="3069" w:type="pct"/>
            <w:shd w:val="clear" w:color="auto" w:fill="auto"/>
            <w:vAlign w:val="bottom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  <w:r w:rsidRPr="00917E1B">
              <w:rPr>
                <w:szCs w:val="22"/>
                <w:lang w:val="el-GR" w:eastAsia="el-GR"/>
              </w:rPr>
              <w:t xml:space="preserve">Υδρόφιλα φίλτρα από ίνες υάλου, με συνδετική ρητίνη, διαμέτρου 142 </w:t>
            </w:r>
            <w:proofErr w:type="spellStart"/>
            <w:r w:rsidRPr="00917E1B">
              <w:rPr>
                <w:szCs w:val="22"/>
                <w:lang w:val="el-GR" w:eastAsia="el-GR"/>
              </w:rPr>
              <w:t>mm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&amp; πόρων 1μm, με τα παρακάτω τεχνικά χαρακτηριστικά:  </w:t>
            </w:r>
            <w:proofErr w:type="spellStart"/>
            <w:r w:rsidRPr="00917E1B">
              <w:rPr>
                <w:szCs w:val="22"/>
                <w:lang w:val="el-GR" w:eastAsia="el-GR"/>
              </w:rPr>
              <w:t>Αποστειρώσιμα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με EO, γ' ακτινοβολία &amp; σε </w:t>
            </w:r>
            <w:proofErr w:type="spellStart"/>
            <w:r w:rsidRPr="00917E1B">
              <w:rPr>
                <w:szCs w:val="22"/>
                <w:lang w:val="el-GR" w:eastAsia="el-GR"/>
              </w:rPr>
              <w:t>αυτόκαυστο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. </w:t>
            </w:r>
            <w:r w:rsidRPr="00917E1B">
              <w:rPr>
                <w:szCs w:val="22"/>
                <w:lang w:val="en-US" w:eastAsia="el-GR"/>
              </w:rPr>
              <w:t xml:space="preserve">Porosity % 90% </w:t>
            </w:r>
            <w:r w:rsidRPr="00917E1B">
              <w:rPr>
                <w:szCs w:val="22"/>
                <w:lang w:val="en-US" w:eastAsia="el-GR"/>
              </w:rPr>
              <w:br/>
              <w:t>Water Flow Rate 1.6 mL/min x cm²</w:t>
            </w:r>
            <w:r w:rsidRPr="00917E1B">
              <w:rPr>
                <w:szCs w:val="22"/>
                <w:lang w:val="en-US" w:eastAsia="el-GR"/>
              </w:rPr>
              <w:br/>
              <w:t xml:space="preserve">Thickness 790 µm. 50 </w:t>
            </w:r>
            <w:r w:rsidRPr="00917E1B">
              <w:rPr>
                <w:szCs w:val="22"/>
                <w:lang w:val="el-GR" w:eastAsia="el-GR"/>
              </w:rPr>
              <w:t>τεμάχια</w:t>
            </w:r>
            <w:r w:rsidRPr="00917E1B">
              <w:rPr>
                <w:szCs w:val="22"/>
                <w:lang w:val="en-US" w:eastAsia="el-GR"/>
              </w:rPr>
              <w:t>/</w:t>
            </w:r>
            <w:r w:rsidRPr="00917E1B">
              <w:rPr>
                <w:szCs w:val="22"/>
                <w:lang w:val="el-GR" w:eastAsia="el-GR"/>
              </w:rPr>
              <w:t>συσκευασία</w:t>
            </w:r>
          </w:p>
        </w:tc>
        <w:tc>
          <w:tcPr>
            <w:tcW w:w="431" w:type="pct"/>
          </w:tcPr>
          <w:p w:rsidR="00A62948" w:rsidRPr="00DA75EC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</w:p>
        </w:tc>
        <w:tc>
          <w:tcPr>
            <w:tcW w:w="433" w:type="pct"/>
          </w:tcPr>
          <w:p w:rsidR="00A62948" w:rsidRPr="00DA75EC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</w:p>
        </w:tc>
        <w:tc>
          <w:tcPr>
            <w:tcW w:w="773" w:type="pct"/>
          </w:tcPr>
          <w:p w:rsidR="00A62948" w:rsidRPr="00DA75EC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</w:p>
        </w:tc>
      </w:tr>
      <w:tr w:rsidR="00A62948" w:rsidRPr="00917E1B" w:rsidTr="00E336FF">
        <w:trPr>
          <w:trHeight w:val="1200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7</w:t>
            </w:r>
          </w:p>
        </w:tc>
        <w:tc>
          <w:tcPr>
            <w:tcW w:w="3069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917E1B">
              <w:rPr>
                <w:szCs w:val="22"/>
                <w:lang w:val="el-GR" w:eastAsia="el-GR"/>
              </w:rPr>
              <w:t xml:space="preserve">Αποστειρωμένες συσκευές διήθησης κενού, κατασκευασμένες από </w:t>
            </w:r>
            <w:proofErr w:type="spellStart"/>
            <w:r w:rsidRPr="00917E1B">
              <w:rPr>
                <w:szCs w:val="22"/>
                <w:lang w:val="el-GR" w:eastAsia="el-GR"/>
              </w:rPr>
              <w:t>πολυστυρένιο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, κατάλληλες για την αποστείρωση διαλυμάτων και θρεπτικών υλικών, με τα παρακάτω τεχνικά χαρακτηριστικά: Τύπος μεμβράνης: Υδρόφιλη PVDF. Μέγεθος Πόρου: 0.22μm.  Τρόπος αποστείρωσης: Ακτινοβολία γ΄. Συνολικό Ύψος: 263mm. Διάμετρος μεμβράνης: 73mm. Επιφάνεια </w:t>
            </w:r>
            <w:proofErr w:type="spellStart"/>
            <w:r w:rsidRPr="00917E1B">
              <w:rPr>
                <w:szCs w:val="22"/>
                <w:lang w:val="el-GR" w:eastAsia="el-GR"/>
              </w:rPr>
              <w:t>φίλτρανσης</w:t>
            </w:r>
            <w:proofErr w:type="spellEnd"/>
            <w:r w:rsidRPr="00917E1B">
              <w:rPr>
                <w:szCs w:val="22"/>
                <w:lang w:val="el-GR" w:eastAsia="el-GR"/>
              </w:rPr>
              <w:t>: 40cm² . Χωρητικότητα χωνιού: 500ml. Χωρητικότητα φιάλης συλλογής του διηθήματος: 500ml. 12/συσκευασία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A62948" w:rsidRPr="00917E1B" w:rsidTr="00E336FF">
        <w:trPr>
          <w:trHeight w:val="945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8</w:t>
            </w:r>
          </w:p>
        </w:tc>
        <w:tc>
          <w:tcPr>
            <w:tcW w:w="3069" w:type="pct"/>
            <w:shd w:val="clear" w:color="auto" w:fill="auto"/>
            <w:vAlign w:val="bottom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 xml:space="preserve">Σωληνάρια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υπερφυγοκέντρησης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με φίλτρο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υπερδιήθησης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/συμπύκνωσης, κατασκευασμένο από μεμβράνη αναγεννημένης κυτταρίνης, με MWCO 10kDa, κατάλληλο για δείγματα έως και 4ml. Παράγοντας συμπύκνωσης: 80-100X, μέχρι τα 50μl, με επιφάνεια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φίλτρανσης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3cm</w:t>
            </w:r>
            <w:r w:rsidRPr="00917E1B">
              <w:rPr>
                <w:color w:val="000000"/>
                <w:szCs w:val="22"/>
                <w:vertAlign w:val="superscript"/>
                <w:lang w:val="el-GR" w:eastAsia="el-GR"/>
              </w:rPr>
              <w:t>2</w:t>
            </w:r>
            <w:r w:rsidRPr="00917E1B">
              <w:rPr>
                <w:color w:val="000000"/>
                <w:szCs w:val="22"/>
                <w:lang w:val="el-GR" w:eastAsia="el-GR"/>
              </w:rPr>
              <w:t xml:space="preserve">, 24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τεμ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./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πακ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62948" w:rsidRPr="00917E1B" w:rsidTr="00E336FF">
        <w:trPr>
          <w:trHeight w:val="945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9</w:t>
            </w:r>
          </w:p>
        </w:tc>
        <w:tc>
          <w:tcPr>
            <w:tcW w:w="3069" w:type="pct"/>
            <w:shd w:val="clear" w:color="auto" w:fill="auto"/>
            <w:vAlign w:val="bottom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 xml:space="preserve">Σωληνάρια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υπερφυγοκέντρησης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με φίλτρο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υπερδιήθησης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/συμπύκνωσης, κατασκευασμένο από μεμβράνη αναγεννημένης κυτταρίνης, με MWCO 10kDa, κατάλληλο για δείγματα έως και 15ml. Παράγοντας συμπύκνωσης: 80-100X, μέχρι τα 200μl, με επιφάνεια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φίλτρανσης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7,6cm</w:t>
            </w:r>
            <w:r w:rsidRPr="00917E1B">
              <w:rPr>
                <w:color w:val="000000"/>
                <w:szCs w:val="22"/>
                <w:vertAlign w:val="superscript"/>
                <w:lang w:val="el-GR" w:eastAsia="el-GR"/>
              </w:rPr>
              <w:t>2</w:t>
            </w:r>
            <w:r w:rsidRPr="00917E1B">
              <w:rPr>
                <w:color w:val="000000"/>
                <w:szCs w:val="22"/>
                <w:lang w:val="el-GR" w:eastAsia="el-GR"/>
              </w:rPr>
              <w:t xml:space="preserve">, 24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τεμ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./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πακ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62948" w:rsidRPr="00917E1B" w:rsidTr="00E336FF">
        <w:trPr>
          <w:trHeight w:val="945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lastRenderedPageBreak/>
              <w:t>10</w:t>
            </w:r>
          </w:p>
        </w:tc>
        <w:tc>
          <w:tcPr>
            <w:tcW w:w="3069" w:type="pct"/>
            <w:shd w:val="clear" w:color="auto" w:fill="auto"/>
            <w:vAlign w:val="bottom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 xml:space="preserve">Σωληνάρια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υπερφυγοκέντρησης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με φίλτρο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υπερδιήθησης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/συμπύκνωσης, κατασκευασμένο από μεμβράνη αναγεννημένης κυτταρίνης, με MWCO 10kDa, κατάλληλο για δείγματα έως και 0,5ml. Παράγοντας συμπύκνωσης: 25-30X, μέχρι τα 15μl, με επιφάνεια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φίλτρανσης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1cm</w:t>
            </w:r>
            <w:r w:rsidRPr="00917E1B">
              <w:rPr>
                <w:color w:val="000000"/>
                <w:szCs w:val="22"/>
                <w:vertAlign w:val="superscript"/>
                <w:lang w:val="el-GR" w:eastAsia="el-GR"/>
              </w:rPr>
              <w:t>2</w:t>
            </w:r>
            <w:r w:rsidRPr="00917E1B">
              <w:rPr>
                <w:color w:val="000000"/>
                <w:szCs w:val="22"/>
                <w:lang w:val="el-GR" w:eastAsia="el-GR"/>
              </w:rPr>
              <w:t xml:space="preserve">, 24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τεμ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./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πακ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62948" w:rsidRPr="00917E1B" w:rsidTr="00E336FF">
        <w:trPr>
          <w:trHeight w:val="645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11</w:t>
            </w:r>
          </w:p>
        </w:tc>
        <w:tc>
          <w:tcPr>
            <w:tcW w:w="3069" w:type="pct"/>
            <w:shd w:val="clear" w:color="auto" w:fill="auto"/>
            <w:vAlign w:val="bottom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917E1B">
              <w:rPr>
                <w:szCs w:val="22"/>
                <w:lang w:val="el-GR" w:eastAsia="el-GR"/>
              </w:rPr>
              <w:t xml:space="preserve">Φίλτρα σύριγγας με μεμβράνη κατασκευασμένη από </w:t>
            </w:r>
            <w:proofErr w:type="spellStart"/>
            <w:r w:rsidRPr="00917E1B">
              <w:rPr>
                <w:szCs w:val="22"/>
                <w:lang w:val="el-GR" w:eastAsia="el-GR"/>
              </w:rPr>
              <w:t>cellulose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acetate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, διαμέτρου 30mm, πορώδους 0,2μm, με επιφάνεια </w:t>
            </w:r>
            <w:proofErr w:type="spellStart"/>
            <w:r w:rsidRPr="00917E1B">
              <w:rPr>
                <w:szCs w:val="22"/>
                <w:lang w:val="el-GR" w:eastAsia="el-GR"/>
              </w:rPr>
              <w:t>φίλτρανσης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5,7cm</w:t>
            </w:r>
            <w:r w:rsidRPr="00917E1B">
              <w:rPr>
                <w:szCs w:val="22"/>
                <w:vertAlign w:val="superscript"/>
                <w:lang w:val="el-GR" w:eastAsia="el-GR"/>
              </w:rPr>
              <w:t>2</w:t>
            </w:r>
            <w:r w:rsidRPr="00917E1B">
              <w:rPr>
                <w:szCs w:val="22"/>
                <w:lang w:val="el-GR" w:eastAsia="el-GR"/>
              </w:rPr>
              <w:t xml:space="preserve"> , </w:t>
            </w:r>
            <w:proofErr w:type="spellStart"/>
            <w:r w:rsidRPr="00917E1B">
              <w:rPr>
                <w:szCs w:val="22"/>
                <w:lang w:val="el-GR" w:eastAsia="el-GR"/>
              </w:rPr>
              <w:t>hold-up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volume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&lt; 50μl, αποστειρωμένα και συσκευασμένα ανά ένα,  50τεμ./</w:t>
            </w:r>
            <w:proofErr w:type="spellStart"/>
            <w:r w:rsidRPr="00917E1B">
              <w:rPr>
                <w:szCs w:val="22"/>
                <w:lang w:val="el-GR" w:eastAsia="el-GR"/>
              </w:rPr>
              <w:t>πκ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. 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A62948" w:rsidRPr="00917E1B" w:rsidTr="00E336FF">
        <w:trPr>
          <w:trHeight w:val="300"/>
        </w:trPr>
        <w:tc>
          <w:tcPr>
            <w:tcW w:w="5000" w:type="pct"/>
            <w:gridSpan w:val="5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917E1B">
              <w:rPr>
                <w:szCs w:val="22"/>
                <w:lang w:val="el-GR" w:eastAsia="el-GR"/>
              </w:rPr>
              <w:t> </w:t>
            </w:r>
          </w:p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917E1B">
              <w:rPr>
                <w:szCs w:val="22"/>
                <w:lang w:val="el-GR" w:eastAsia="el-GR"/>
              </w:rPr>
              <w:t> </w:t>
            </w:r>
            <w:r>
              <w:rPr>
                <w:b/>
                <w:bCs/>
                <w:color w:val="000000"/>
                <w:szCs w:val="22"/>
                <w:lang w:val="el-GR" w:eastAsia="el-GR"/>
              </w:rPr>
              <w:t>Ομάδα 2</w:t>
            </w:r>
            <w:r w:rsidRPr="00917E1B">
              <w:rPr>
                <w:b/>
                <w:bCs/>
                <w:color w:val="000000"/>
                <w:szCs w:val="22"/>
                <w:lang w:val="el-GR" w:eastAsia="el-GR"/>
              </w:rPr>
              <w:t xml:space="preserve"> (Προσφορά για το σύνολο των προϊόντων)</w:t>
            </w:r>
          </w:p>
        </w:tc>
      </w:tr>
      <w:tr w:rsidR="00A62948" w:rsidRPr="00917E1B" w:rsidTr="00A62948">
        <w:trPr>
          <w:trHeight w:val="1045"/>
        </w:trPr>
        <w:tc>
          <w:tcPr>
            <w:tcW w:w="294" w:type="pct"/>
            <w:shd w:val="clear" w:color="auto" w:fill="F2F2F2" w:themeFill="background1" w:themeFillShade="F2"/>
            <w:noWrap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917E1B">
              <w:rPr>
                <w:b/>
                <w:bCs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3069" w:type="pct"/>
            <w:shd w:val="clear" w:color="auto" w:fill="F2F2F2" w:themeFill="background1" w:themeFillShade="F2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917E1B">
              <w:rPr>
                <w:b/>
                <w:bCs/>
                <w:szCs w:val="22"/>
                <w:lang w:val="el-GR" w:eastAsia="el-GR"/>
              </w:rPr>
              <w:t>Τεχνικά χαρακτηριστικά</w:t>
            </w:r>
          </w:p>
        </w:tc>
        <w:tc>
          <w:tcPr>
            <w:tcW w:w="431" w:type="pct"/>
            <w:shd w:val="clear" w:color="auto" w:fill="F2F2F2" w:themeFill="background1" w:themeFillShade="F2"/>
          </w:tcPr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433" w:type="pct"/>
            <w:shd w:val="clear" w:color="auto" w:fill="F2F2F2" w:themeFill="background1" w:themeFillShade="F2"/>
          </w:tcPr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ΟΧΙ</w:t>
            </w:r>
          </w:p>
        </w:tc>
        <w:tc>
          <w:tcPr>
            <w:tcW w:w="773" w:type="pct"/>
            <w:shd w:val="clear" w:color="auto" w:fill="F2F2F2" w:themeFill="background1" w:themeFillShade="F2"/>
          </w:tcPr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ΠΑΡΑΠΟΜΠΗ</w:t>
            </w:r>
          </w:p>
        </w:tc>
      </w:tr>
      <w:tr w:rsidR="00A62948" w:rsidRPr="00917E1B" w:rsidTr="00E336FF">
        <w:trPr>
          <w:trHeight w:val="1200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12</w:t>
            </w:r>
          </w:p>
        </w:tc>
        <w:tc>
          <w:tcPr>
            <w:tcW w:w="3069" w:type="pct"/>
            <w:shd w:val="clear" w:color="auto" w:fill="auto"/>
            <w:vAlign w:val="bottom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917E1B">
              <w:rPr>
                <w:szCs w:val="22"/>
                <w:lang w:val="el-GR" w:eastAsia="el-GR"/>
              </w:rPr>
              <w:t xml:space="preserve">Φυγοκεντρικά σωληνάρια όγκου 15ml, διαστάσεων 120 x 17 </w:t>
            </w:r>
            <w:proofErr w:type="spellStart"/>
            <w:r w:rsidRPr="00917E1B">
              <w:rPr>
                <w:szCs w:val="22"/>
                <w:lang w:val="el-GR" w:eastAsia="el-GR"/>
              </w:rPr>
              <w:t>mm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, κατασκευασμένα από πολυπροπυλένιο, με κωνικό πυθμένα, βιδωτό καπάκι κατασκευασμένο από High </w:t>
            </w:r>
            <w:proofErr w:type="spellStart"/>
            <w:r w:rsidRPr="00917E1B">
              <w:rPr>
                <w:szCs w:val="22"/>
                <w:lang w:val="el-GR" w:eastAsia="el-GR"/>
              </w:rPr>
              <w:t>Density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szCs w:val="22"/>
                <w:lang w:val="el-GR" w:eastAsia="el-GR"/>
              </w:rPr>
              <w:t>Polyethylene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, διαγραμμίσεις των όγκων &amp; επιφάνεια αναγραφής στοιχείων. Να αντέχουν σε ταχύτητα </w:t>
            </w:r>
            <w:proofErr w:type="spellStart"/>
            <w:r w:rsidRPr="00917E1B">
              <w:rPr>
                <w:szCs w:val="22"/>
                <w:lang w:val="el-GR" w:eastAsia="el-GR"/>
              </w:rPr>
              <w:t>φυγοκέντρησης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έως 15500 x g. Αποστειρωμένα &amp; συσκευασμένα ανά 50 τεμάχια, 500/πακέτο. Non-</w:t>
            </w:r>
            <w:proofErr w:type="spellStart"/>
            <w:r w:rsidRPr="00917E1B">
              <w:rPr>
                <w:szCs w:val="22"/>
                <w:lang w:val="el-GR" w:eastAsia="el-GR"/>
              </w:rPr>
              <w:t>pyrogenic</w:t>
            </w:r>
            <w:proofErr w:type="spellEnd"/>
            <w:r w:rsidRPr="00917E1B">
              <w:rPr>
                <w:szCs w:val="22"/>
                <w:lang w:val="el-GR" w:eastAsia="el-GR"/>
              </w:rPr>
              <w:t>/</w:t>
            </w:r>
            <w:proofErr w:type="spellStart"/>
            <w:r w:rsidRPr="00917E1B">
              <w:rPr>
                <w:szCs w:val="22"/>
                <w:lang w:val="el-GR" w:eastAsia="el-GR"/>
              </w:rPr>
              <w:t>endotoxin-free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. IVD/CE </w:t>
            </w:r>
            <w:proofErr w:type="spellStart"/>
            <w:r w:rsidRPr="00917E1B">
              <w:rPr>
                <w:szCs w:val="22"/>
                <w:lang w:val="el-GR" w:eastAsia="el-GR"/>
              </w:rPr>
              <w:t>Certified</w:t>
            </w:r>
            <w:proofErr w:type="spellEnd"/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A62948" w:rsidRPr="00917E1B" w:rsidTr="00E336FF">
        <w:trPr>
          <w:trHeight w:val="900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13</w:t>
            </w:r>
          </w:p>
        </w:tc>
        <w:tc>
          <w:tcPr>
            <w:tcW w:w="3069" w:type="pct"/>
            <w:shd w:val="clear" w:color="auto" w:fill="auto"/>
            <w:vAlign w:val="bottom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917E1B">
              <w:rPr>
                <w:szCs w:val="22"/>
                <w:lang w:val="el-GR" w:eastAsia="el-GR"/>
              </w:rPr>
              <w:t xml:space="preserve">Ορολογικές </w:t>
            </w:r>
            <w:proofErr w:type="spellStart"/>
            <w:r w:rsidRPr="00917E1B">
              <w:rPr>
                <w:szCs w:val="22"/>
                <w:lang w:val="el-GR" w:eastAsia="el-GR"/>
              </w:rPr>
              <w:t>Πιπέττες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όγκου 5ml, κατασκευασμένες από </w:t>
            </w:r>
            <w:proofErr w:type="spellStart"/>
            <w:r w:rsidRPr="00917E1B">
              <w:rPr>
                <w:szCs w:val="22"/>
                <w:lang w:val="el-GR" w:eastAsia="el-GR"/>
              </w:rPr>
              <w:t>πολυστυρένιο</w:t>
            </w:r>
            <w:proofErr w:type="spellEnd"/>
            <w:r w:rsidRPr="00917E1B">
              <w:rPr>
                <w:szCs w:val="22"/>
                <w:lang w:val="el-GR" w:eastAsia="el-GR"/>
              </w:rPr>
              <w:t>, με βαμβάκι στο άνω άκρο τους, διαμέτρου 8mm &amp; ύψους 340mm, non-</w:t>
            </w:r>
            <w:proofErr w:type="spellStart"/>
            <w:r w:rsidRPr="00917E1B">
              <w:rPr>
                <w:szCs w:val="22"/>
                <w:lang w:val="el-GR" w:eastAsia="el-GR"/>
              </w:rPr>
              <w:t>pyrogenic</w:t>
            </w:r>
            <w:proofErr w:type="spellEnd"/>
            <w:r w:rsidRPr="00917E1B">
              <w:rPr>
                <w:szCs w:val="22"/>
                <w:lang w:val="el-GR" w:eastAsia="el-GR"/>
              </w:rPr>
              <w:t>/</w:t>
            </w:r>
            <w:proofErr w:type="spellStart"/>
            <w:r w:rsidRPr="00917E1B">
              <w:rPr>
                <w:szCs w:val="22"/>
                <w:lang w:val="el-GR" w:eastAsia="el-GR"/>
              </w:rPr>
              <w:t>endotoxin-free</w:t>
            </w:r>
            <w:proofErr w:type="spellEnd"/>
            <w:r w:rsidRPr="00917E1B">
              <w:rPr>
                <w:szCs w:val="22"/>
                <w:lang w:val="el-GR" w:eastAsia="el-GR"/>
              </w:rPr>
              <w:t>, non-</w:t>
            </w:r>
            <w:proofErr w:type="spellStart"/>
            <w:r w:rsidRPr="00917E1B">
              <w:rPr>
                <w:szCs w:val="22"/>
                <w:lang w:val="el-GR" w:eastAsia="el-GR"/>
              </w:rPr>
              <w:t>cytotoxic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, IVD, με διαγραμμίσεις, αποστειρωμένες με γ-ακτινοβολία, συσκευασμένες ανά μία, 500 </w:t>
            </w:r>
            <w:proofErr w:type="spellStart"/>
            <w:r w:rsidRPr="00917E1B">
              <w:rPr>
                <w:szCs w:val="22"/>
                <w:lang w:val="el-GR" w:eastAsia="el-GR"/>
              </w:rPr>
              <w:t>τεμ</w:t>
            </w:r>
            <w:proofErr w:type="spellEnd"/>
            <w:r w:rsidRPr="00917E1B">
              <w:rPr>
                <w:szCs w:val="22"/>
                <w:lang w:val="el-GR" w:eastAsia="el-GR"/>
              </w:rPr>
              <w:t>./</w:t>
            </w:r>
            <w:proofErr w:type="spellStart"/>
            <w:r w:rsidRPr="00917E1B">
              <w:rPr>
                <w:szCs w:val="22"/>
                <w:lang w:val="el-GR" w:eastAsia="el-GR"/>
              </w:rPr>
              <w:t>πακ</w:t>
            </w:r>
            <w:proofErr w:type="spellEnd"/>
            <w:r w:rsidRPr="00917E1B">
              <w:rPr>
                <w:szCs w:val="22"/>
                <w:lang w:val="el-GR" w:eastAsia="el-GR"/>
              </w:rPr>
              <w:t>.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A62948" w:rsidRPr="00917E1B" w:rsidTr="00E336FF">
        <w:trPr>
          <w:trHeight w:val="900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14</w:t>
            </w:r>
          </w:p>
        </w:tc>
        <w:tc>
          <w:tcPr>
            <w:tcW w:w="3069" w:type="pct"/>
            <w:shd w:val="clear" w:color="auto" w:fill="auto"/>
            <w:vAlign w:val="bottom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917E1B">
              <w:rPr>
                <w:szCs w:val="22"/>
                <w:lang w:val="el-GR" w:eastAsia="el-GR"/>
              </w:rPr>
              <w:t xml:space="preserve">Ορολογικές </w:t>
            </w:r>
            <w:proofErr w:type="spellStart"/>
            <w:r w:rsidRPr="00917E1B">
              <w:rPr>
                <w:szCs w:val="22"/>
                <w:lang w:val="el-GR" w:eastAsia="el-GR"/>
              </w:rPr>
              <w:t>Πιπέττες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 όγκου 10ml, κατασκευασμένες από </w:t>
            </w:r>
            <w:proofErr w:type="spellStart"/>
            <w:r w:rsidRPr="00917E1B">
              <w:rPr>
                <w:szCs w:val="22"/>
                <w:lang w:val="el-GR" w:eastAsia="el-GR"/>
              </w:rPr>
              <w:t>πολυστυρένιο</w:t>
            </w:r>
            <w:proofErr w:type="spellEnd"/>
            <w:r w:rsidRPr="00917E1B">
              <w:rPr>
                <w:szCs w:val="22"/>
                <w:lang w:val="el-GR" w:eastAsia="el-GR"/>
              </w:rPr>
              <w:t>, με βαμβάκι στο άνω άκρο τους, διαμέτρου 10mm &amp; ύψους 335mm, non-</w:t>
            </w:r>
            <w:proofErr w:type="spellStart"/>
            <w:r w:rsidRPr="00917E1B">
              <w:rPr>
                <w:szCs w:val="22"/>
                <w:lang w:val="el-GR" w:eastAsia="el-GR"/>
              </w:rPr>
              <w:t>pyrogenic</w:t>
            </w:r>
            <w:proofErr w:type="spellEnd"/>
            <w:r w:rsidRPr="00917E1B">
              <w:rPr>
                <w:szCs w:val="22"/>
                <w:lang w:val="el-GR" w:eastAsia="el-GR"/>
              </w:rPr>
              <w:t>/</w:t>
            </w:r>
            <w:proofErr w:type="spellStart"/>
            <w:r w:rsidRPr="00917E1B">
              <w:rPr>
                <w:szCs w:val="22"/>
                <w:lang w:val="el-GR" w:eastAsia="el-GR"/>
              </w:rPr>
              <w:t>endotoxin-free</w:t>
            </w:r>
            <w:proofErr w:type="spellEnd"/>
            <w:r w:rsidRPr="00917E1B">
              <w:rPr>
                <w:szCs w:val="22"/>
                <w:lang w:val="el-GR" w:eastAsia="el-GR"/>
              </w:rPr>
              <w:t>, non-</w:t>
            </w:r>
            <w:proofErr w:type="spellStart"/>
            <w:r w:rsidRPr="00917E1B">
              <w:rPr>
                <w:szCs w:val="22"/>
                <w:lang w:val="el-GR" w:eastAsia="el-GR"/>
              </w:rPr>
              <w:t>cytotoxic</w:t>
            </w:r>
            <w:proofErr w:type="spellEnd"/>
            <w:r w:rsidRPr="00917E1B">
              <w:rPr>
                <w:szCs w:val="22"/>
                <w:lang w:val="el-GR" w:eastAsia="el-GR"/>
              </w:rPr>
              <w:t xml:space="preserve">, IVD, με διαγραμμίσεις, αποστειρωμένες με γ-ακτινοβολία, συσκευασμένες ανά μία, 500 </w:t>
            </w:r>
            <w:proofErr w:type="spellStart"/>
            <w:r w:rsidRPr="00917E1B">
              <w:rPr>
                <w:szCs w:val="22"/>
                <w:lang w:val="el-GR" w:eastAsia="el-GR"/>
              </w:rPr>
              <w:t>τεμ</w:t>
            </w:r>
            <w:proofErr w:type="spellEnd"/>
            <w:r w:rsidRPr="00917E1B">
              <w:rPr>
                <w:szCs w:val="22"/>
                <w:lang w:val="el-GR" w:eastAsia="el-GR"/>
              </w:rPr>
              <w:t>./</w:t>
            </w:r>
            <w:proofErr w:type="spellStart"/>
            <w:r w:rsidRPr="00917E1B">
              <w:rPr>
                <w:szCs w:val="22"/>
                <w:lang w:val="el-GR" w:eastAsia="el-GR"/>
              </w:rPr>
              <w:t>πακ</w:t>
            </w:r>
            <w:proofErr w:type="spellEnd"/>
            <w:r w:rsidRPr="00917E1B">
              <w:rPr>
                <w:szCs w:val="22"/>
                <w:lang w:val="el-GR" w:eastAsia="el-GR"/>
              </w:rPr>
              <w:t>.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A62948" w:rsidRPr="00917E1B" w:rsidTr="00E336FF">
        <w:trPr>
          <w:trHeight w:val="300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15</w:t>
            </w:r>
          </w:p>
        </w:tc>
        <w:tc>
          <w:tcPr>
            <w:tcW w:w="3069" w:type="pct"/>
            <w:shd w:val="clear" w:color="auto" w:fill="auto"/>
            <w:vAlign w:val="bottom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917E1B">
              <w:rPr>
                <w:szCs w:val="22"/>
                <w:lang w:val="el-GR" w:eastAsia="el-GR"/>
              </w:rPr>
              <w:t>Σύριγγες 2,5ml, με βελόνα 21G, αποστειρωμένες και συσκευασμένες ανά μία, 100 τεμάχια/πακέτο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A62948" w:rsidRPr="00917E1B" w:rsidTr="00E336FF">
        <w:trPr>
          <w:trHeight w:val="300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16</w:t>
            </w:r>
          </w:p>
        </w:tc>
        <w:tc>
          <w:tcPr>
            <w:tcW w:w="3069" w:type="pct"/>
            <w:shd w:val="clear" w:color="auto" w:fill="auto"/>
            <w:vAlign w:val="bottom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917E1B">
              <w:rPr>
                <w:szCs w:val="22"/>
                <w:lang w:val="el-GR" w:eastAsia="el-GR"/>
              </w:rPr>
              <w:t>Σύριγγες 5ml, με βελόνα 21G, αποστειρωμένες και συσκευασμένες ανά μία, 100 τεμάχια/πακέτο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A62948" w:rsidRPr="00917E1B" w:rsidTr="00E336FF">
        <w:trPr>
          <w:trHeight w:val="300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17</w:t>
            </w:r>
          </w:p>
        </w:tc>
        <w:tc>
          <w:tcPr>
            <w:tcW w:w="3069" w:type="pct"/>
            <w:shd w:val="clear" w:color="auto" w:fill="auto"/>
            <w:vAlign w:val="bottom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917E1B">
              <w:rPr>
                <w:szCs w:val="22"/>
                <w:lang w:val="el-GR" w:eastAsia="el-GR"/>
              </w:rPr>
              <w:t>Σύριγγες 10ml, με βελόνα 21G, αποστειρωμένες και συσκευασμένες ανά μία, 100 τεμάχια/πακέτο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A62948" w:rsidRPr="00917E1B" w:rsidTr="00E336FF">
        <w:trPr>
          <w:trHeight w:val="300"/>
        </w:trPr>
        <w:tc>
          <w:tcPr>
            <w:tcW w:w="5000" w:type="pct"/>
            <w:gridSpan w:val="5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lastRenderedPageBreak/>
              <w:t> </w:t>
            </w:r>
          </w:p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 </w:t>
            </w:r>
            <w:r>
              <w:rPr>
                <w:b/>
                <w:bCs/>
                <w:color w:val="000000"/>
                <w:szCs w:val="22"/>
                <w:lang w:val="el-GR" w:eastAsia="el-GR"/>
              </w:rPr>
              <w:t>Ομάδα 3</w:t>
            </w:r>
            <w:r w:rsidRPr="00917E1B">
              <w:rPr>
                <w:b/>
                <w:bCs/>
                <w:color w:val="000000"/>
                <w:szCs w:val="22"/>
                <w:lang w:val="el-GR" w:eastAsia="el-GR"/>
              </w:rPr>
              <w:t xml:space="preserve"> (Προσφορά για το σύνολο των προϊόντων)</w:t>
            </w:r>
          </w:p>
        </w:tc>
      </w:tr>
      <w:tr w:rsidR="00A62948" w:rsidRPr="00917E1B" w:rsidTr="00A62948">
        <w:trPr>
          <w:trHeight w:val="1201"/>
        </w:trPr>
        <w:tc>
          <w:tcPr>
            <w:tcW w:w="294" w:type="pct"/>
            <w:shd w:val="clear" w:color="auto" w:fill="F2F2F2" w:themeFill="background1" w:themeFillShade="F2"/>
            <w:noWrap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917E1B">
              <w:rPr>
                <w:b/>
                <w:bCs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3069" w:type="pct"/>
            <w:shd w:val="clear" w:color="auto" w:fill="F2F2F2" w:themeFill="background1" w:themeFillShade="F2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917E1B">
              <w:rPr>
                <w:b/>
                <w:bCs/>
                <w:szCs w:val="22"/>
                <w:lang w:val="el-GR" w:eastAsia="el-GR"/>
              </w:rPr>
              <w:t>Τεχνικά χαρακτηριστικά</w:t>
            </w:r>
          </w:p>
        </w:tc>
        <w:tc>
          <w:tcPr>
            <w:tcW w:w="431" w:type="pct"/>
            <w:shd w:val="clear" w:color="auto" w:fill="F2F2F2" w:themeFill="background1" w:themeFillShade="F2"/>
          </w:tcPr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433" w:type="pct"/>
            <w:shd w:val="clear" w:color="auto" w:fill="F2F2F2" w:themeFill="background1" w:themeFillShade="F2"/>
          </w:tcPr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ΟΧΙ</w:t>
            </w:r>
          </w:p>
        </w:tc>
        <w:tc>
          <w:tcPr>
            <w:tcW w:w="773" w:type="pct"/>
            <w:shd w:val="clear" w:color="auto" w:fill="F2F2F2" w:themeFill="background1" w:themeFillShade="F2"/>
          </w:tcPr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ΠΑΡΑΠΟΜΠΗ</w:t>
            </w:r>
          </w:p>
        </w:tc>
      </w:tr>
      <w:tr w:rsidR="00A62948" w:rsidRPr="00DA75EC" w:rsidTr="00E336FF">
        <w:trPr>
          <w:trHeight w:val="2700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18</w:t>
            </w:r>
          </w:p>
        </w:tc>
        <w:tc>
          <w:tcPr>
            <w:tcW w:w="3069" w:type="pct"/>
            <w:shd w:val="clear" w:color="auto" w:fill="auto"/>
            <w:vAlign w:val="bottom"/>
            <w:hideMark/>
          </w:tcPr>
          <w:p w:rsidR="00A62948" w:rsidRPr="00DA75EC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n-US" w:eastAsia="el-GR"/>
              </w:rPr>
              <w:t>Rat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IL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-10 </w:t>
            </w:r>
            <w:r w:rsidRPr="00917E1B">
              <w:rPr>
                <w:color w:val="000000"/>
                <w:szCs w:val="22"/>
                <w:lang w:val="en-US" w:eastAsia="el-GR"/>
              </w:rPr>
              <w:t>Uncoated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ELISA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Kit</w:t>
            </w:r>
            <w:r w:rsidRPr="00DA75EC">
              <w:rPr>
                <w:color w:val="000000"/>
                <w:szCs w:val="22"/>
                <w:lang w:val="el-GR" w:eastAsia="el-GR"/>
              </w:rPr>
              <w:br/>
            </w:r>
            <w:r w:rsidRPr="00917E1B">
              <w:rPr>
                <w:color w:val="000000"/>
                <w:szCs w:val="22"/>
                <w:lang w:val="el-GR" w:eastAsia="el-GR"/>
              </w:rPr>
              <w:t>Αναλυτική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ευαισθησία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: &lt;15.6 </w:t>
            </w:r>
            <w:proofErr w:type="spellStart"/>
            <w:r w:rsidRPr="00917E1B">
              <w:rPr>
                <w:color w:val="000000"/>
                <w:szCs w:val="22"/>
                <w:lang w:val="en-US" w:eastAsia="el-GR"/>
              </w:rPr>
              <w:t>pg</w:t>
            </w:r>
            <w:proofErr w:type="spellEnd"/>
            <w:r w:rsidRPr="00DA75EC">
              <w:rPr>
                <w:color w:val="000000"/>
                <w:szCs w:val="22"/>
                <w:lang w:val="el-GR" w:eastAsia="el-GR"/>
              </w:rPr>
              <w:t>/</w:t>
            </w:r>
            <w:r w:rsidRPr="00917E1B">
              <w:rPr>
                <w:color w:val="000000"/>
                <w:szCs w:val="22"/>
                <w:lang w:val="en-US" w:eastAsia="el-GR"/>
              </w:rPr>
              <w:t>mL</w:t>
            </w:r>
            <w:r w:rsidRPr="00DA75EC">
              <w:rPr>
                <w:color w:val="000000"/>
                <w:szCs w:val="22"/>
                <w:lang w:val="el-GR" w:eastAsia="el-GR"/>
              </w:rPr>
              <w:br/>
            </w:r>
            <w:r w:rsidRPr="00917E1B">
              <w:rPr>
                <w:color w:val="000000"/>
                <w:szCs w:val="22"/>
                <w:lang w:val="el-GR" w:eastAsia="el-GR"/>
              </w:rPr>
              <w:t>Εύρος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assay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: 15.6-1000 </w:t>
            </w:r>
            <w:proofErr w:type="spellStart"/>
            <w:r w:rsidRPr="00917E1B">
              <w:rPr>
                <w:color w:val="000000"/>
                <w:szCs w:val="22"/>
                <w:lang w:val="en-US" w:eastAsia="el-GR"/>
              </w:rPr>
              <w:t>pg</w:t>
            </w:r>
            <w:proofErr w:type="spellEnd"/>
            <w:r w:rsidRPr="00DA75EC">
              <w:rPr>
                <w:color w:val="000000"/>
                <w:szCs w:val="22"/>
                <w:lang w:val="el-GR" w:eastAsia="el-GR"/>
              </w:rPr>
              <w:t>/</w:t>
            </w:r>
            <w:r w:rsidRPr="00917E1B">
              <w:rPr>
                <w:color w:val="000000"/>
                <w:szCs w:val="22"/>
                <w:lang w:val="en-US" w:eastAsia="el-GR"/>
              </w:rPr>
              <w:t>mL</w:t>
            </w:r>
            <w:r w:rsidRPr="00DA75EC">
              <w:rPr>
                <w:color w:val="000000"/>
                <w:szCs w:val="22"/>
                <w:lang w:val="el-GR" w:eastAsia="el-GR"/>
              </w:rPr>
              <w:br/>
            </w:r>
            <w:r w:rsidRPr="00917E1B">
              <w:rPr>
                <w:color w:val="000000"/>
                <w:szCs w:val="22"/>
                <w:lang w:val="el-GR" w:eastAsia="el-GR"/>
              </w:rPr>
              <w:t>Κατάλληλο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για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χρήση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με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ορό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, </w:t>
            </w:r>
            <w:r w:rsidRPr="00917E1B">
              <w:rPr>
                <w:color w:val="000000"/>
                <w:szCs w:val="22"/>
                <w:lang w:val="el-GR" w:eastAsia="el-GR"/>
              </w:rPr>
              <w:t>πλάσμα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και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καλλιεργητικό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υπερκείμενο</w:t>
            </w:r>
            <w:r w:rsidRPr="00DA75EC">
              <w:rPr>
                <w:color w:val="000000"/>
                <w:szCs w:val="22"/>
                <w:lang w:val="el-GR" w:eastAsia="el-GR"/>
              </w:rPr>
              <w:t>, 50</w:t>
            </w:r>
            <w:r w:rsidRPr="00917E1B">
              <w:rPr>
                <w:color w:val="000000"/>
                <w:szCs w:val="22"/>
                <w:lang w:val="el-GR" w:eastAsia="el-GR"/>
              </w:rPr>
              <w:t>μ</w:t>
            </w:r>
            <w:r w:rsidRPr="00917E1B">
              <w:rPr>
                <w:color w:val="000000"/>
                <w:szCs w:val="22"/>
                <w:lang w:val="en-US" w:eastAsia="el-GR"/>
              </w:rPr>
              <w:t>L</w:t>
            </w:r>
            <w:r w:rsidRPr="00DA75EC">
              <w:rPr>
                <w:color w:val="000000"/>
                <w:szCs w:val="22"/>
                <w:lang w:val="el-GR" w:eastAsia="el-GR"/>
              </w:rPr>
              <w:br/>
            </w:r>
            <w:r w:rsidRPr="00917E1B">
              <w:rPr>
                <w:color w:val="000000"/>
                <w:szCs w:val="22"/>
                <w:lang w:val="el-GR" w:eastAsia="el-GR"/>
              </w:rPr>
              <w:t>Χρόνος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ενασχόλησης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χρήστη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1</w:t>
            </w:r>
            <w:r w:rsidRPr="00917E1B">
              <w:rPr>
                <w:color w:val="000000"/>
                <w:szCs w:val="22"/>
                <w:lang w:val="en-US" w:eastAsia="el-GR"/>
              </w:rPr>
              <w:t>h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45</w:t>
            </w:r>
            <w:r w:rsidRPr="00917E1B">
              <w:rPr>
                <w:color w:val="000000"/>
                <w:szCs w:val="22"/>
                <w:lang w:val="en-US" w:eastAsia="el-GR"/>
              </w:rPr>
              <w:t>min</w:t>
            </w:r>
            <w:r w:rsidRPr="00DA75EC">
              <w:rPr>
                <w:color w:val="000000"/>
                <w:szCs w:val="22"/>
                <w:lang w:val="el-GR" w:eastAsia="el-GR"/>
              </w:rPr>
              <w:br/>
            </w:r>
            <w:r w:rsidRPr="00917E1B">
              <w:rPr>
                <w:color w:val="000000"/>
                <w:szCs w:val="22"/>
                <w:lang w:val="el-GR" w:eastAsia="el-GR"/>
              </w:rPr>
              <w:t>Το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κιτ</w:t>
            </w:r>
            <w:proofErr w:type="spellEnd"/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να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περιλαμβάνει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: </w:t>
            </w:r>
            <w:r w:rsidRPr="00917E1B">
              <w:rPr>
                <w:color w:val="000000"/>
                <w:szCs w:val="22"/>
                <w:lang w:val="en-US" w:eastAsia="el-GR"/>
              </w:rPr>
              <w:t>Pre</w:t>
            </w:r>
            <w:r w:rsidRPr="00DA75EC">
              <w:rPr>
                <w:color w:val="000000"/>
                <w:szCs w:val="22"/>
                <w:lang w:val="el-GR" w:eastAsia="el-GR"/>
              </w:rPr>
              <w:t>-</w:t>
            </w:r>
            <w:r w:rsidRPr="00917E1B">
              <w:rPr>
                <w:color w:val="000000"/>
                <w:szCs w:val="22"/>
                <w:lang w:val="en-US" w:eastAsia="el-GR"/>
              </w:rPr>
              <w:t>titrated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, </w:t>
            </w:r>
            <w:r w:rsidRPr="00917E1B">
              <w:rPr>
                <w:color w:val="000000"/>
                <w:szCs w:val="22"/>
                <w:lang w:val="en-US" w:eastAsia="el-GR"/>
              </w:rPr>
              <w:t>purified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antibody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- </w:t>
            </w:r>
            <w:r w:rsidRPr="00917E1B">
              <w:rPr>
                <w:color w:val="000000"/>
                <w:szCs w:val="22"/>
                <w:lang w:val="en-US" w:eastAsia="el-GR"/>
              </w:rPr>
              <w:t>Pre</w:t>
            </w:r>
            <w:r w:rsidRPr="00DA75EC">
              <w:rPr>
                <w:color w:val="000000"/>
                <w:szCs w:val="22"/>
                <w:lang w:val="el-GR" w:eastAsia="el-GR"/>
              </w:rPr>
              <w:t>-</w:t>
            </w:r>
            <w:r w:rsidRPr="00917E1B">
              <w:rPr>
                <w:color w:val="000000"/>
                <w:szCs w:val="22"/>
                <w:lang w:val="en-US" w:eastAsia="el-GR"/>
              </w:rPr>
              <w:t>titrated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, </w:t>
            </w:r>
            <w:r w:rsidRPr="00917E1B">
              <w:rPr>
                <w:color w:val="000000"/>
                <w:szCs w:val="22"/>
                <w:lang w:val="en-US" w:eastAsia="el-GR"/>
              </w:rPr>
              <w:t>biotin</w:t>
            </w:r>
            <w:r w:rsidRPr="00DA75EC">
              <w:rPr>
                <w:color w:val="000000"/>
                <w:szCs w:val="22"/>
                <w:lang w:val="el-GR" w:eastAsia="el-GR"/>
              </w:rPr>
              <w:t>-</w:t>
            </w:r>
            <w:r w:rsidRPr="00917E1B">
              <w:rPr>
                <w:color w:val="000000"/>
                <w:szCs w:val="22"/>
                <w:lang w:val="en-US" w:eastAsia="el-GR"/>
              </w:rPr>
              <w:t>conjugated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antibody</w:t>
            </w:r>
            <w:r w:rsidRPr="00DA75EC">
              <w:rPr>
                <w:color w:val="000000"/>
                <w:szCs w:val="22"/>
                <w:lang w:val="el-GR" w:eastAsia="el-GR"/>
              </w:rPr>
              <w:br/>
            </w:r>
            <w:r w:rsidRPr="00917E1B">
              <w:rPr>
                <w:color w:val="000000"/>
                <w:szCs w:val="22"/>
                <w:lang w:val="en-US" w:eastAsia="el-GR"/>
              </w:rPr>
              <w:t>Standard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: </w:t>
            </w:r>
            <w:r w:rsidRPr="00917E1B">
              <w:rPr>
                <w:color w:val="000000"/>
                <w:szCs w:val="22"/>
                <w:lang w:val="en-US" w:eastAsia="el-GR"/>
              </w:rPr>
              <w:t>Recombinant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protein</w:t>
            </w:r>
            <w:r w:rsidRPr="00DA75EC">
              <w:rPr>
                <w:color w:val="000000"/>
                <w:szCs w:val="22"/>
                <w:lang w:val="el-GR" w:eastAsia="el-GR"/>
              </w:rPr>
              <w:t>, 10</w:t>
            </w:r>
            <w:r w:rsidRPr="00917E1B">
              <w:rPr>
                <w:color w:val="000000"/>
                <w:szCs w:val="22"/>
                <w:lang w:val="en-US" w:eastAsia="el-GR"/>
              </w:rPr>
              <w:t>X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Coating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Buffer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, </w:t>
            </w:r>
            <w:r w:rsidRPr="00917E1B">
              <w:rPr>
                <w:color w:val="000000"/>
                <w:szCs w:val="22"/>
                <w:lang w:val="en-US" w:eastAsia="el-GR"/>
              </w:rPr>
              <w:t>Sample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Diluent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Z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, </w:t>
            </w:r>
            <w:r w:rsidRPr="00917E1B">
              <w:rPr>
                <w:color w:val="000000"/>
                <w:szCs w:val="22"/>
                <w:lang w:val="en-US" w:eastAsia="el-GR"/>
              </w:rPr>
              <w:t>Assay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Buffer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A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, </w:t>
            </w:r>
            <w:r w:rsidRPr="00917E1B">
              <w:rPr>
                <w:color w:val="000000"/>
                <w:szCs w:val="22"/>
                <w:lang w:val="en-US" w:eastAsia="el-GR"/>
              </w:rPr>
              <w:t>Pre</w:t>
            </w:r>
            <w:r w:rsidRPr="00DA75EC">
              <w:rPr>
                <w:color w:val="000000"/>
                <w:szCs w:val="22"/>
                <w:lang w:val="el-GR" w:eastAsia="el-GR"/>
              </w:rPr>
              <w:t>-</w:t>
            </w:r>
            <w:r w:rsidRPr="00917E1B">
              <w:rPr>
                <w:color w:val="000000"/>
                <w:szCs w:val="22"/>
                <w:lang w:val="en-US" w:eastAsia="el-GR"/>
              </w:rPr>
              <w:t>titrated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Streptavidin</w:t>
            </w:r>
            <w:r w:rsidRPr="00DA75EC">
              <w:rPr>
                <w:color w:val="000000"/>
                <w:szCs w:val="22"/>
                <w:lang w:val="el-GR" w:eastAsia="el-GR"/>
              </w:rPr>
              <w:t>-</w:t>
            </w:r>
            <w:r w:rsidRPr="00917E1B">
              <w:rPr>
                <w:color w:val="000000"/>
                <w:szCs w:val="22"/>
                <w:lang w:val="en-US" w:eastAsia="el-GR"/>
              </w:rPr>
              <w:t>HRP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Concentrate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(100</w:t>
            </w:r>
            <w:r w:rsidRPr="00917E1B">
              <w:rPr>
                <w:color w:val="000000"/>
                <w:szCs w:val="22"/>
                <w:lang w:val="en-US" w:eastAsia="el-GR"/>
              </w:rPr>
              <w:t>X</w:t>
            </w:r>
            <w:r w:rsidRPr="00DA75EC">
              <w:rPr>
                <w:color w:val="000000"/>
                <w:szCs w:val="22"/>
                <w:lang w:val="el-GR" w:eastAsia="el-GR"/>
              </w:rPr>
              <w:t>), 1</w:t>
            </w:r>
            <w:r w:rsidRPr="00917E1B">
              <w:rPr>
                <w:color w:val="000000"/>
                <w:szCs w:val="22"/>
                <w:lang w:val="en-US" w:eastAsia="el-GR"/>
              </w:rPr>
              <w:t>X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TMB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Solution</w:t>
            </w:r>
            <w:r w:rsidRPr="00DA75EC">
              <w:rPr>
                <w:color w:val="000000"/>
                <w:szCs w:val="22"/>
                <w:lang w:val="el-GR" w:eastAsia="el-GR"/>
              </w:rPr>
              <w:br/>
            </w:r>
            <w:r w:rsidRPr="00917E1B">
              <w:rPr>
                <w:color w:val="000000"/>
                <w:szCs w:val="22"/>
                <w:lang w:val="el-GR" w:eastAsia="el-GR"/>
              </w:rPr>
              <w:t>Συσκευασία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10</w:t>
            </w:r>
            <w:r w:rsidRPr="00917E1B">
              <w:rPr>
                <w:color w:val="000000"/>
                <w:szCs w:val="22"/>
                <w:lang w:val="en-US" w:eastAsia="el-GR"/>
              </w:rPr>
              <w:t>x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96 </w:t>
            </w:r>
            <w:r w:rsidRPr="00917E1B">
              <w:rPr>
                <w:color w:val="000000"/>
                <w:szCs w:val="22"/>
                <w:lang w:val="en-US" w:eastAsia="el-GR"/>
              </w:rPr>
              <w:t>tests</w:t>
            </w:r>
          </w:p>
        </w:tc>
        <w:tc>
          <w:tcPr>
            <w:tcW w:w="431" w:type="pct"/>
          </w:tcPr>
          <w:p w:rsidR="00A62948" w:rsidRPr="00DA75EC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DA75EC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DA75EC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62948" w:rsidRPr="00917E1B" w:rsidTr="00E336FF">
        <w:trPr>
          <w:trHeight w:val="1125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19</w:t>
            </w:r>
          </w:p>
        </w:tc>
        <w:tc>
          <w:tcPr>
            <w:tcW w:w="3069" w:type="pct"/>
            <w:shd w:val="clear" w:color="auto" w:fill="auto"/>
            <w:vAlign w:val="bottom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Rat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IL-2 ELISA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Kit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br/>
              <w:t xml:space="preserve">Αναλυτική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ευαισθησια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: 0.1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ng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/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mL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br/>
              <w:t xml:space="preserve">Εύρος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assay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: 0.1-30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ng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/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mL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br/>
              <w:t>Κατάλληλο για χρήση με ορό, πλάσμα και καλλιεργητικά υπερκείμενο, 50μL</w:t>
            </w:r>
            <w:r w:rsidRPr="00917E1B">
              <w:rPr>
                <w:color w:val="000000"/>
                <w:szCs w:val="22"/>
                <w:lang w:val="el-GR" w:eastAsia="el-GR"/>
              </w:rPr>
              <w:br/>
              <w:t xml:space="preserve">Χρόνος ενασχόλησης χρήστη 1h 20min,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Interassay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CV: &lt;12%</w:t>
            </w:r>
            <w:r w:rsidRPr="00917E1B">
              <w:rPr>
                <w:color w:val="000000"/>
                <w:szCs w:val="22"/>
                <w:lang w:val="el-GR" w:eastAsia="el-GR"/>
              </w:rPr>
              <w:br/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Intraassay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CV: &lt;10%</w:t>
            </w:r>
            <w:r w:rsidRPr="00917E1B">
              <w:rPr>
                <w:color w:val="000000"/>
                <w:szCs w:val="22"/>
                <w:lang w:val="el-GR" w:eastAsia="el-GR"/>
              </w:rPr>
              <w:br/>
              <w:t xml:space="preserve">Το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κιτ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να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περιλαμβάνει:Pre-coated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96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well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plate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Standard,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Assay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Diluent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concentrate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Biotinylated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Detection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Antibody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SAV-HRP,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Wash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Buffer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Chromogen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Stop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Solution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Adhesive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Plate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Covers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br/>
              <w:t xml:space="preserve">Συσκευασία 96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tests</w:t>
            </w:r>
            <w:proofErr w:type="spellEnd"/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62948" w:rsidRPr="00DA75EC" w:rsidTr="00E336FF">
        <w:trPr>
          <w:trHeight w:val="2100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20</w:t>
            </w:r>
          </w:p>
        </w:tc>
        <w:tc>
          <w:tcPr>
            <w:tcW w:w="3069" w:type="pct"/>
            <w:shd w:val="clear" w:color="auto" w:fill="auto"/>
            <w:vAlign w:val="bottom"/>
            <w:hideMark/>
          </w:tcPr>
          <w:p w:rsidR="00A62948" w:rsidRPr="00DA75EC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n-US" w:eastAsia="el-GR"/>
              </w:rPr>
              <w:t>IL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-4 </w:t>
            </w:r>
            <w:r w:rsidRPr="00917E1B">
              <w:rPr>
                <w:color w:val="000000"/>
                <w:szCs w:val="22"/>
                <w:lang w:val="en-US" w:eastAsia="el-GR"/>
              </w:rPr>
              <w:t>Rat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Matched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Antibody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Pair</w:t>
            </w:r>
            <w:r w:rsidRPr="00DA75EC">
              <w:rPr>
                <w:color w:val="000000"/>
                <w:szCs w:val="22"/>
                <w:lang w:val="el-GR" w:eastAsia="el-GR"/>
              </w:rPr>
              <w:br/>
            </w:r>
            <w:r w:rsidRPr="00917E1B">
              <w:rPr>
                <w:color w:val="000000"/>
                <w:szCs w:val="22"/>
                <w:lang w:val="el-GR" w:eastAsia="el-GR"/>
              </w:rPr>
              <w:t>Αναλυτική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ευαισθησια</w:t>
            </w:r>
            <w:proofErr w:type="spellEnd"/>
            <w:r w:rsidRPr="00DA75EC">
              <w:rPr>
                <w:color w:val="000000"/>
                <w:szCs w:val="22"/>
                <w:lang w:val="el-GR" w:eastAsia="el-GR"/>
              </w:rPr>
              <w:t xml:space="preserve">: 1.6 </w:t>
            </w:r>
            <w:proofErr w:type="spellStart"/>
            <w:r w:rsidRPr="00917E1B">
              <w:rPr>
                <w:color w:val="000000"/>
                <w:szCs w:val="22"/>
                <w:lang w:val="en-US" w:eastAsia="el-GR"/>
              </w:rPr>
              <w:t>pg</w:t>
            </w:r>
            <w:proofErr w:type="spellEnd"/>
            <w:r w:rsidRPr="00DA75EC">
              <w:rPr>
                <w:color w:val="000000"/>
                <w:szCs w:val="22"/>
                <w:lang w:val="el-GR" w:eastAsia="el-GR"/>
              </w:rPr>
              <w:t>/</w:t>
            </w:r>
            <w:r w:rsidRPr="00917E1B">
              <w:rPr>
                <w:color w:val="000000"/>
                <w:szCs w:val="22"/>
                <w:lang w:val="en-US" w:eastAsia="el-GR"/>
              </w:rPr>
              <w:t>mL</w:t>
            </w:r>
            <w:r w:rsidRPr="00DA75EC">
              <w:rPr>
                <w:color w:val="000000"/>
                <w:szCs w:val="22"/>
                <w:lang w:val="el-GR" w:eastAsia="el-GR"/>
              </w:rPr>
              <w:br/>
            </w:r>
            <w:r w:rsidRPr="00917E1B">
              <w:rPr>
                <w:color w:val="000000"/>
                <w:szCs w:val="22"/>
                <w:lang w:val="el-GR" w:eastAsia="el-GR"/>
              </w:rPr>
              <w:t>Εύρος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assay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: 1.6-100 </w:t>
            </w:r>
            <w:proofErr w:type="spellStart"/>
            <w:r w:rsidRPr="00917E1B">
              <w:rPr>
                <w:color w:val="000000"/>
                <w:szCs w:val="22"/>
                <w:lang w:val="en-US" w:eastAsia="el-GR"/>
              </w:rPr>
              <w:t>pg</w:t>
            </w:r>
            <w:proofErr w:type="spellEnd"/>
            <w:r w:rsidRPr="00DA75EC">
              <w:rPr>
                <w:color w:val="000000"/>
                <w:szCs w:val="22"/>
                <w:lang w:val="el-GR" w:eastAsia="el-GR"/>
              </w:rPr>
              <w:t>/</w:t>
            </w:r>
            <w:r w:rsidRPr="00917E1B">
              <w:rPr>
                <w:color w:val="000000"/>
                <w:szCs w:val="22"/>
                <w:lang w:val="en-US" w:eastAsia="el-GR"/>
              </w:rPr>
              <w:t>mL</w:t>
            </w:r>
            <w:r w:rsidRPr="00DA75EC">
              <w:rPr>
                <w:color w:val="000000"/>
                <w:szCs w:val="22"/>
                <w:lang w:val="el-GR" w:eastAsia="el-GR"/>
              </w:rPr>
              <w:br/>
            </w:r>
            <w:r w:rsidRPr="00917E1B">
              <w:rPr>
                <w:color w:val="000000"/>
                <w:szCs w:val="22"/>
                <w:lang w:val="el-GR" w:eastAsia="el-GR"/>
              </w:rPr>
              <w:t>Κατάλληλο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για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χρήση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με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ορό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, </w:t>
            </w:r>
            <w:r w:rsidRPr="00917E1B">
              <w:rPr>
                <w:color w:val="000000"/>
                <w:szCs w:val="22"/>
                <w:lang w:val="el-GR" w:eastAsia="el-GR"/>
              </w:rPr>
              <w:t>πλάσμα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και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καλλιεργητικό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υπερκείμενο</w:t>
            </w:r>
            <w:r w:rsidRPr="00DA75EC">
              <w:rPr>
                <w:color w:val="000000"/>
                <w:szCs w:val="22"/>
                <w:lang w:val="el-GR" w:eastAsia="el-GR"/>
              </w:rPr>
              <w:t>, 50</w:t>
            </w:r>
            <w:r w:rsidRPr="00917E1B">
              <w:rPr>
                <w:color w:val="000000"/>
                <w:szCs w:val="22"/>
                <w:lang w:val="el-GR" w:eastAsia="el-GR"/>
              </w:rPr>
              <w:t>μ</w:t>
            </w:r>
            <w:r w:rsidRPr="00917E1B">
              <w:rPr>
                <w:color w:val="000000"/>
                <w:szCs w:val="22"/>
                <w:lang w:val="en-US" w:eastAsia="el-GR"/>
              </w:rPr>
              <w:t>L</w:t>
            </w:r>
            <w:r w:rsidRPr="00DA75EC">
              <w:rPr>
                <w:color w:val="000000"/>
                <w:szCs w:val="22"/>
                <w:lang w:val="el-GR" w:eastAsia="el-GR"/>
              </w:rPr>
              <w:br/>
            </w:r>
            <w:r w:rsidRPr="00917E1B">
              <w:rPr>
                <w:color w:val="000000"/>
                <w:szCs w:val="22"/>
                <w:lang w:val="el-GR" w:eastAsia="el-GR"/>
              </w:rPr>
              <w:t>Χρόνος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για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αποτέλεσμα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3</w:t>
            </w:r>
            <w:r w:rsidRPr="00917E1B">
              <w:rPr>
                <w:color w:val="000000"/>
                <w:szCs w:val="22"/>
                <w:lang w:val="en-US" w:eastAsia="el-GR"/>
              </w:rPr>
              <w:t>h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410</w:t>
            </w:r>
            <w:r w:rsidRPr="00917E1B">
              <w:rPr>
                <w:color w:val="000000"/>
                <w:szCs w:val="22"/>
                <w:lang w:val="en-US" w:eastAsia="el-GR"/>
              </w:rPr>
              <w:t>min</w:t>
            </w:r>
            <w:r w:rsidRPr="00DA75EC">
              <w:rPr>
                <w:color w:val="000000"/>
                <w:szCs w:val="22"/>
                <w:lang w:val="el-GR" w:eastAsia="el-GR"/>
              </w:rPr>
              <w:br/>
            </w:r>
            <w:r w:rsidRPr="00917E1B">
              <w:rPr>
                <w:color w:val="000000"/>
                <w:szCs w:val="22"/>
                <w:lang w:val="el-GR" w:eastAsia="el-GR"/>
              </w:rPr>
              <w:t>Το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κιτ</w:t>
            </w:r>
            <w:proofErr w:type="spellEnd"/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να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περιλαμβάνει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: </w:t>
            </w:r>
            <w:r w:rsidRPr="00917E1B">
              <w:rPr>
                <w:color w:val="000000"/>
                <w:szCs w:val="22"/>
                <w:lang w:val="en-US" w:eastAsia="el-GR"/>
              </w:rPr>
              <w:t>Capture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Antibody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, </w:t>
            </w:r>
            <w:r w:rsidRPr="00917E1B">
              <w:rPr>
                <w:color w:val="000000"/>
                <w:szCs w:val="22"/>
                <w:lang w:val="en-US" w:eastAsia="el-GR"/>
              </w:rPr>
              <w:t>Detection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Antibody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, </w:t>
            </w:r>
            <w:r w:rsidRPr="00917E1B">
              <w:rPr>
                <w:color w:val="000000"/>
                <w:szCs w:val="22"/>
                <w:lang w:val="en-US" w:eastAsia="el-GR"/>
              </w:rPr>
              <w:t>Standard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, </w:t>
            </w:r>
            <w:r w:rsidRPr="00917E1B">
              <w:rPr>
                <w:color w:val="000000"/>
                <w:szCs w:val="22"/>
                <w:lang w:val="en-US" w:eastAsia="el-GR"/>
              </w:rPr>
              <w:t>SAV</w:t>
            </w:r>
            <w:r w:rsidRPr="00DA75EC">
              <w:rPr>
                <w:color w:val="000000"/>
                <w:szCs w:val="22"/>
                <w:lang w:val="el-GR" w:eastAsia="el-GR"/>
              </w:rPr>
              <w:t>-</w:t>
            </w:r>
            <w:r w:rsidRPr="00917E1B">
              <w:rPr>
                <w:color w:val="000000"/>
                <w:szCs w:val="22"/>
                <w:lang w:val="en-US" w:eastAsia="el-GR"/>
              </w:rPr>
              <w:t>HRP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, </w:t>
            </w:r>
            <w:r w:rsidRPr="00917E1B">
              <w:rPr>
                <w:color w:val="000000"/>
                <w:szCs w:val="22"/>
                <w:lang w:val="en-US" w:eastAsia="el-GR"/>
              </w:rPr>
              <w:t>Sample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Diluent</w:t>
            </w:r>
            <w:r w:rsidRPr="00DA75EC">
              <w:rPr>
                <w:color w:val="000000"/>
                <w:szCs w:val="22"/>
                <w:lang w:val="el-GR" w:eastAsia="el-GR"/>
              </w:rPr>
              <w:br/>
            </w:r>
            <w:r w:rsidRPr="00917E1B">
              <w:rPr>
                <w:color w:val="000000"/>
                <w:szCs w:val="22"/>
                <w:lang w:val="el-GR" w:eastAsia="el-GR"/>
              </w:rPr>
              <w:t>Συσκευασία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10</w:t>
            </w:r>
            <w:r w:rsidRPr="00917E1B">
              <w:rPr>
                <w:color w:val="000000"/>
                <w:szCs w:val="22"/>
                <w:lang w:val="en-US" w:eastAsia="el-GR"/>
              </w:rPr>
              <w:t>x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96 </w:t>
            </w:r>
            <w:r w:rsidRPr="00917E1B">
              <w:rPr>
                <w:color w:val="000000"/>
                <w:szCs w:val="22"/>
                <w:lang w:val="en-US" w:eastAsia="el-GR"/>
              </w:rPr>
              <w:t>tests</w:t>
            </w:r>
          </w:p>
        </w:tc>
        <w:tc>
          <w:tcPr>
            <w:tcW w:w="431" w:type="pct"/>
          </w:tcPr>
          <w:p w:rsidR="00A62948" w:rsidRPr="00DA75EC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DA75EC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DA75EC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62948" w:rsidRPr="00917E1B" w:rsidTr="00E336FF">
        <w:trPr>
          <w:trHeight w:val="600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21</w:t>
            </w:r>
          </w:p>
        </w:tc>
        <w:tc>
          <w:tcPr>
            <w:tcW w:w="3069" w:type="pct"/>
            <w:shd w:val="clear" w:color="auto" w:fill="auto"/>
            <w:vAlign w:val="bottom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l-GR"/>
              </w:rPr>
            </w:pP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Solid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Phase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Sandwich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ELISA κατάλληλο για μέτρηση φυσικής και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ανασυνδυασμένης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INF-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gamma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ποντικού. </w:t>
            </w:r>
            <w:r w:rsidRPr="00917E1B">
              <w:rPr>
                <w:color w:val="000000"/>
                <w:szCs w:val="22"/>
                <w:lang w:val="en-US" w:eastAsia="el-GR"/>
              </w:rPr>
              <w:t xml:space="preserve">96well plate strip format, </w:t>
            </w:r>
            <w:r w:rsidRPr="00917E1B">
              <w:rPr>
                <w:color w:val="000000"/>
                <w:szCs w:val="22"/>
                <w:lang w:val="el-GR" w:eastAsia="el-GR"/>
              </w:rPr>
              <w:t>Εύρος</w:t>
            </w:r>
            <w:r w:rsidRPr="00917E1B">
              <w:rPr>
                <w:color w:val="000000"/>
                <w:szCs w:val="22"/>
                <w:lang w:val="en-US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lastRenderedPageBreak/>
              <w:t>συγκέντρωσης</w:t>
            </w:r>
            <w:r w:rsidRPr="00917E1B">
              <w:rPr>
                <w:color w:val="000000"/>
                <w:szCs w:val="22"/>
                <w:lang w:val="en-US" w:eastAsia="el-GR"/>
              </w:rPr>
              <w:t xml:space="preserve"> 39.1 - 2,500 </w:t>
            </w:r>
            <w:proofErr w:type="spellStart"/>
            <w:r w:rsidRPr="00917E1B">
              <w:rPr>
                <w:color w:val="000000"/>
                <w:szCs w:val="22"/>
                <w:lang w:val="en-US" w:eastAsia="el-GR"/>
              </w:rPr>
              <w:t>pg</w:t>
            </w:r>
            <w:proofErr w:type="spellEnd"/>
            <w:r w:rsidRPr="00917E1B">
              <w:rPr>
                <w:color w:val="000000"/>
                <w:szCs w:val="22"/>
                <w:lang w:val="en-US" w:eastAsia="el-GR"/>
              </w:rPr>
              <w:t>/</w:t>
            </w:r>
            <w:proofErr w:type="spellStart"/>
            <w:r w:rsidRPr="00917E1B">
              <w:rPr>
                <w:color w:val="000000"/>
                <w:szCs w:val="22"/>
                <w:lang w:val="en-US" w:eastAsia="el-GR"/>
              </w:rPr>
              <w:t>mL.</w:t>
            </w:r>
            <w:proofErr w:type="spellEnd"/>
            <w:r w:rsidRPr="00917E1B">
              <w:rPr>
                <w:color w:val="000000"/>
                <w:szCs w:val="22"/>
                <w:lang w:val="en-US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Επαρκεί</w:t>
            </w:r>
            <w:r w:rsidRPr="00917E1B">
              <w:rPr>
                <w:color w:val="000000"/>
                <w:szCs w:val="22"/>
                <w:lang w:val="en-US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για</w:t>
            </w:r>
            <w:r w:rsidRPr="00917E1B">
              <w:rPr>
                <w:color w:val="000000"/>
                <w:szCs w:val="22"/>
                <w:lang w:val="en-US" w:eastAsia="el-GR"/>
              </w:rPr>
              <w:t xml:space="preserve"> 15 96well plates.</w:t>
            </w:r>
          </w:p>
        </w:tc>
        <w:tc>
          <w:tcPr>
            <w:tcW w:w="431" w:type="pct"/>
          </w:tcPr>
          <w:p w:rsidR="00A62948" w:rsidRPr="00DA75EC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433" w:type="pct"/>
          </w:tcPr>
          <w:p w:rsidR="00A62948" w:rsidRPr="00DA75EC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773" w:type="pct"/>
          </w:tcPr>
          <w:p w:rsidR="00A62948" w:rsidRPr="00DA75EC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l-GR"/>
              </w:rPr>
            </w:pPr>
          </w:p>
        </w:tc>
      </w:tr>
      <w:tr w:rsidR="00A62948" w:rsidRPr="00917E1B" w:rsidTr="00E336FF">
        <w:trPr>
          <w:trHeight w:val="1785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lastRenderedPageBreak/>
              <w:t>22</w:t>
            </w:r>
          </w:p>
        </w:tc>
        <w:tc>
          <w:tcPr>
            <w:tcW w:w="3069" w:type="pct"/>
            <w:shd w:val="clear" w:color="000000" w:fill="FFFFFF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rFonts w:cs="Tahoma"/>
                <w:color w:val="000000"/>
                <w:szCs w:val="22"/>
                <w:lang w:val="el-GR" w:eastAsia="el-GR"/>
              </w:rPr>
            </w:pPr>
            <w:proofErr w:type="spellStart"/>
            <w:r w:rsidRPr="00917E1B">
              <w:rPr>
                <w:rFonts w:cs="Tahoma"/>
                <w:color w:val="000000"/>
                <w:szCs w:val="22"/>
                <w:lang w:val="el-GR" w:eastAsia="el-GR"/>
              </w:rPr>
              <w:t>Qubit</w:t>
            </w:r>
            <w:proofErr w:type="spellEnd"/>
            <w:r w:rsidRPr="00917E1B">
              <w:rPr>
                <w:rFonts w:cs="Tahoma"/>
                <w:color w:val="000000"/>
                <w:szCs w:val="22"/>
                <w:lang w:val="el-GR" w:eastAsia="el-GR"/>
              </w:rPr>
              <w:t>™ </w:t>
            </w:r>
            <w:proofErr w:type="spellStart"/>
            <w:r w:rsidRPr="00917E1B">
              <w:rPr>
                <w:rFonts w:cs="Tahoma"/>
                <w:color w:val="000000"/>
                <w:szCs w:val="22"/>
                <w:lang w:val="el-GR" w:eastAsia="el-GR"/>
              </w:rPr>
              <w:t>Protein</w:t>
            </w:r>
            <w:proofErr w:type="spellEnd"/>
            <w:r w:rsidRPr="00917E1B">
              <w:rPr>
                <w:rFonts w:cs="Tahoma"/>
                <w:color w:val="000000"/>
                <w:szCs w:val="22"/>
                <w:lang w:val="el-GR" w:eastAsia="el-GR"/>
              </w:rPr>
              <w:t> </w:t>
            </w:r>
            <w:proofErr w:type="spellStart"/>
            <w:r w:rsidRPr="00917E1B">
              <w:rPr>
                <w:rFonts w:cs="Tahoma"/>
                <w:color w:val="000000"/>
                <w:szCs w:val="22"/>
                <w:lang w:val="el-GR" w:eastAsia="el-GR"/>
              </w:rPr>
              <w:t>Assay</w:t>
            </w:r>
            <w:proofErr w:type="spellEnd"/>
            <w:r w:rsidRPr="00917E1B">
              <w:rPr>
                <w:rFonts w:cs="Tahoma"/>
                <w:color w:val="000000"/>
                <w:szCs w:val="22"/>
                <w:lang w:val="el-GR" w:eastAsia="el-GR"/>
              </w:rPr>
              <w:t> </w:t>
            </w:r>
            <w:proofErr w:type="spellStart"/>
            <w:r w:rsidRPr="00917E1B">
              <w:rPr>
                <w:rFonts w:cs="Tahoma"/>
                <w:color w:val="000000"/>
                <w:szCs w:val="22"/>
                <w:lang w:val="el-GR" w:eastAsia="el-GR"/>
              </w:rPr>
              <w:t>Kit</w:t>
            </w:r>
            <w:proofErr w:type="spellEnd"/>
            <w:r w:rsidRPr="00917E1B">
              <w:rPr>
                <w:rFonts w:cs="Tahoma"/>
                <w:color w:val="000000"/>
                <w:szCs w:val="22"/>
                <w:lang w:val="el-GR" w:eastAsia="el-GR"/>
              </w:rPr>
              <w:t> </w:t>
            </w:r>
            <w:proofErr w:type="spellStart"/>
            <w:r w:rsidRPr="00917E1B">
              <w:rPr>
                <w:rFonts w:cs="Tahoma"/>
                <w:color w:val="000000"/>
                <w:szCs w:val="22"/>
                <w:lang w:val="el-GR" w:eastAsia="el-GR"/>
              </w:rPr>
              <w:t>Κιτ</w:t>
            </w:r>
            <w:proofErr w:type="spellEnd"/>
            <w:r w:rsidRPr="00917E1B">
              <w:rPr>
                <w:rFonts w:cs="Tahoma"/>
                <w:color w:val="000000"/>
                <w:szCs w:val="22"/>
                <w:lang w:val="el-GR" w:eastAsia="el-GR"/>
              </w:rPr>
              <w:t xml:space="preserve"> ανάλυσης πρωτεϊνών ειδικό για χρήση με το </w:t>
            </w:r>
            <w:proofErr w:type="spellStart"/>
            <w:r w:rsidRPr="00917E1B">
              <w:rPr>
                <w:rFonts w:cs="Tahoma"/>
                <w:color w:val="000000"/>
                <w:szCs w:val="22"/>
                <w:lang w:val="el-GR" w:eastAsia="el-GR"/>
              </w:rPr>
              <w:t>φθοριόμετρο</w:t>
            </w:r>
            <w:proofErr w:type="spellEnd"/>
            <w:r w:rsidRPr="00917E1B">
              <w:rPr>
                <w:rFonts w:cs="Tahoma"/>
                <w:color w:val="000000"/>
                <w:szCs w:val="22"/>
                <w:lang w:val="el-GR" w:eastAsia="el-GR"/>
              </w:rPr>
              <w:t> </w:t>
            </w:r>
            <w:proofErr w:type="spellStart"/>
            <w:r w:rsidRPr="00917E1B">
              <w:rPr>
                <w:rFonts w:cs="Tahoma"/>
                <w:color w:val="000000"/>
                <w:szCs w:val="22"/>
                <w:lang w:val="el-GR" w:eastAsia="el-GR"/>
              </w:rPr>
              <w:t>Qubit</w:t>
            </w:r>
            <w:proofErr w:type="spellEnd"/>
            <w:r w:rsidRPr="00917E1B">
              <w:rPr>
                <w:rFonts w:cs="Tahoma"/>
                <w:color w:val="000000"/>
                <w:szCs w:val="22"/>
                <w:lang w:val="el-GR" w:eastAsia="el-GR"/>
              </w:rPr>
              <w:t> και από τον ίδιο κατασκευαστικό οίκο. Η δοκιμασία να έχει υψηλή ειδικότητα για πρωτεΐνες και να είναι σχεδιασμένη ώστε να είναι ακριβής παρουσία αναγωγικών παραγόντων. Κοινοί μολυσματικοί παράγοντες όπως αναγωγικοί παράγοντες (DTT, β-</w:t>
            </w:r>
            <w:proofErr w:type="spellStart"/>
            <w:r w:rsidRPr="00917E1B">
              <w:rPr>
                <w:rFonts w:cs="Tahoma"/>
                <w:color w:val="000000"/>
                <w:szCs w:val="22"/>
                <w:lang w:val="el-GR" w:eastAsia="el-GR"/>
              </w:rPr>
              <w:t>mercaptoethanol</w:t>
            </w:r>
            <w:proofErr w:type="spellEnd"/>
            <w:r w:rsidRPr="00917E1B">
              <w:rPr>
                <w:rFonts w:cs="Tahoma"/>
                <w:color w:val="000000"/>
                <w:szCs w:val="22"/>
                <w:lang w:val="el-GR" w:eastAsia="el-GR"/>
              </w:rPr>
              <w:t xml:space="preserve">), άλατα, ελεύθερα </w:t>
            </w:r>
            <w:proofErr w:type="spellStart"/>
            <w:r w:rsidRPr="00917E1B">
              <w:rPr>
                <w:rFonts w:cs="Tahoma"/>
                <w:color w:val="000000"/>
                <w:szCs w:val="22"/>
                <w:lang w:val="el-GR" w:eastAsia="el-GR"/>
              </w:rPr>
              <w:t>νουκλεοτίδια</w:t>
            </w:r>
            <w:proofErr w:type="spellEnd"/>
            <w:r w:rsidRPr="00917E1B">
              <w:rPr>
                <w:rFonts w:cs="Tahoma"/>
                <w:color w:val="000000"/>
                <w:szCs w:val="22"/>
                <w:lang w:val="el-GR" w:eastAsia="el-GR"/>
              </w:rPr>
              <w:t>, αμινοξέα, διαλύτες, DNA, αλλά όχι απορρυπαντικά, να γίνονται ανεκτά από τη δοκιμασία. Το </w:t>
            </w:r>
            <w:proofErr w:type="spellStart"/>
            <w:r w:rsidRPr="00917E1B">
              <w:rPr>
                <w:rFonts w:cs="Tahoma"/>
                <w:color w:val="000000"/>
                <w:szCs w:val="22"/>
                <w:lang w:val="el-GR" w:eastAsia="el-GR"/>
              </w:rPr>
              <w:t>kit</w:t>
            </w:r>
            <w:proofErr w:type="spellEnd"/>
            <w:r w:rsidRPr="00917E1B">
              <w:rPr>
                <w:rFonts w:cs="Tahoma"/>
                <w:color w:val="000000"/>
                <w:szCs w:val="22"/>
                <w:lang w:val="el-GR" w:eastAsia="el-GR"/>
              </w:rPr>
              <w:t> να περιέχει συμπυκνωμένο αντιδραστήριο δοκιμασίας, ρυθμιστικό διάλυμα αραίωσης και προ-αραιωμένα πρότυπα BSA. </w:t>
            </w:r>
            <w:proofErr w:type="spellStart"/>
            <w:r w:rsidRPr="00917E1B">
              <w:rPr>
                <w:rFonts w:cs="Tahoma"/>
                <w:color w:val="000000"/>
                <w:szCs w:val="22"/>
                <w:lang w:val="el-GR" w:eastAsia="el-GR"/>
              </w:rPr>
              <w:t>Ογκος</w:t>
            </w:r>
            <w:proofErr w:type="spellEnd"/>
            <w:r w:rsidRPr="00917E1B">
              <w:rPr>
                <w:rFonts w:cs="Tahoma"/>
                <w:color w:val="000000"/>
                <w:szCs w:val="22"/>
                <w:lang w:val="el-GR" w:eastAsia="el-GR"/>
              </w:rPr>
              <w:t xml:space="preserve"> δείγματος: 1-20 µL (12.5μg/</w:t>
            </w:r>
            <w:proofErr w:type="spellStart"/>
            <w:r w:rsidRPr="00917E1B">
              <w:rPr>
                <w:rFonts w:cs="Tahoma"/>
                <w:color w:val="000000"/>
                <w:szCs w:val="22"/>
                <w:lang w:val="el-GR" w:eastAsia="el-GR"/>
              </w:rPr>
              <w:t>ml</w:t>
            </w:r>
            <w:proofErr w:type="spellEnd"/>
            <w:r w:rsidRPr="00917E1B">
              <w:rPr>
                <w:rFonts w:cs="Tahoma"/>
                <w:color w:val="000000"/>
                <w:szCs w:val="22"/>
                <w:lang w:val="el-GR" w:eastAsia="el-GR"/>
              </w:rPr>
              <w:t xml:space="preserve"> - 5mg/</w:t>
            </w:r>
            <w:proofErr w:type="spellStart"/>
            <w:r w:rsidRPr="00917E1B">
              <w:rPr>
                <w:rFonts w:cs="Tahoma"/>
                <w:color w:val="000000"/>
                <w:szCs w:val="22"/>
                <w:lang w:val="el-GR" w:eastAsia="el-GR"/>
              </w:rPr>
              <w:t>ml</w:t>
            </w:r>
            <w:proofErr w:type="spellEnd"/>
            <w:r w:rsidRPr="00917E1B">
              <w:rPr>
                <w:rFonts w:cs="Tahoma"/>
                <w:color w:val="000000"/>
                <w:szCs w:val="22"/>
                <w:lang w:val="el-GR" w:eastAsia="el-GR"/>
              </w:rPr>
              <w:t xml:space="preserve">). Συσκευασία: 500 αντιδράσεις. </w:t>
            </w:r>
          </w:p>
        </w:tc>
        <w:tc>
          <w:tcPr>
            <w:tcW w:w="431" w:type="pct"/>
            <w:shd w:val="clear" w:color="000000" w:fill="FFFFFF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rFonts w:cs="Tahoma"/>
                <w:color w:val="000000"/>
                <w:szCs w:val="22"/>
                <w:lang w:val="el-GR" w:eastAsia="el-GR"/>
              </w:rPr>
            </w:pPr>
          </w:p>
        </w:tc>
        <w:tc>
          <w:tcPr>
            <w:tcW w:w="433" w:type="pct"/>
            <w:shd w:val="clear" w:color="000000" w:fill="FFFFFF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rFonts w:cs="Tahoma"/>
                <w:color w:val="000000"/>
                <w:szCs w:val="22"/>
                <w:lang w:val="el-GR" w:eastAsia="el-GR"/>
              </w:rPr>
            </w:pPr>
          </w:p>
        </w:tc>
        <w:tc>
          <w:tcPr>
            <w:tcW w:w="773" w:type="pct"/>
            <w:shd w:val="clear" w:color="000000" w:fill="FFFFFF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rFonts w:cs="Tahoma"/>
                <w:color w:val="000000"/>
                <w:szCs w:val="22"/>
                <w:lang w:val="el-GR" w:eastAsia="el-GR"/>
              </w:rPr>
            </w:pPr>
          </w:p>
        </w:tc>
      </w:tr>
      <w:tr w:rsidR="00A62948" w:rsidRPr="00917E1B" w:rsidTr="00E336FF">
        <w:trPr>
          <w:trHeight w:val="300"/>
        </w:trPr>
        <w:tc>
          <w:tcPr>
            <w:tcW w:w="5000" w:type="pct"/>
            <w:gridSpan w:val="5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 </w:t>
            </w:r>
          </w:p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rFonts w:cs="Tahoma"/>
                <w:color w:val="000000"/>
                <w:szCs w:val="22"/>
                <w:lang w:val="el-GR" w:eastAsia="el-GR"/>
              </w:rPr>
            </w:pPr>
            <w:r w:rsidRPr="00917E1B">
              <w:rPr>
                <w:rFonts w:cs="Tahoma"/>
                <w:color w:val="000000"/>
                <w:szCs w:val="22"/>
                <w:lang w:val="el-GR" w:eastAsia="el-GR"/>
              </w:rPr>
              <w:t> </w:t>
            </w:r>
            <w:r>
              <w:rPr>
                <w:b/>
                <w:bCs/>
                <w:color w:val="000000"/>
                <w:szCs w:val="22"/>
                <w:lang w:val="el-GR" w:eastAsia="el-GR"/>
              </w:rPr>
              <w:t>Ομάδα 4</w:t>
            </w:r>
            <w:r w:rsidRPr="00917E1B">
              <w:rPr>
                <w:b/>
                <w:bCs/>
                <w:color w:val="000000"/>
                <w:szCs w:val="22"/>
                <w:lang w:val="el-GR" w:eastAsia="el-GR"/>
              </w:rPr>
              <w:t xml:space="preserve"> (Προσφορά για το σύνολο των προϊόντων)</w:t>
            </w:r>
          </w:p>
        </w:tc>
      </w:tr>
      <w:tr w:rsidR="00A62948" w:rsidRPr="00917E1B" w:rsidTr="00A62948">
        <w:trPr>
          <w:trHeight w:val="900"/>
        </w:trPr>
        <w:tc>
          <w:tcPr>
            <w:tcW w:w="294" w:type="pct"/>
            <w:shd w:val="clear" w:color="auto" w:fill="F2F2F2" w:themeFill="background1" w:themeFillShade="F2"/>
            <w:noWrap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917E1B">
              <w:rPr>
                <w:b/>
                <w:bCs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3069" w:type="pct"/>
            <w:shd w:val="clear" w:color="auto" w:fill="F2F2F2" w:themeFill="background1" w:themeFillShade="F2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917E1B">
              <w:rPr>
                <w:b/>
                <w:bCs/>
                <w:szCs w:val="22"/>
                <w:lang w:val="el-GR" w:eastAsia="el-GR"/>
              </w:rPr>
              <w:t>Τεχνικά χαρακτηριστικά</w:t>
            </w:r>
          </w:p>
        </w:tc>
        <w:tc>
          <w:tcPr>
            <w:tcW w:w="431" w:type="pct"/>
            <w:shd w:val="clear" w:color="auto" w:fill="F2F2F2" w:themeFill="background1" w:themeFillShade="F2"/>
          </w:tcPr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433" w:type="pct"/>
            <w:shd w:val="clear" w:color="auto" w:fill="F2F2F2" w:themeFill="background1" w:themeFillShade="F2"/>
          </w:tcPr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ΟΧΙ</w:t>
            </w:r>
          </w:p>
        </w:tc>
        <w:tc>
          <w:tcPr>
            <w:tcW w:w="773" w:type="pct"/>
            <w:shd w:val="clear" w:color="auto" w:fill="F2F2F2" w:themeFill="background1" w:themeFillShade="F2"/>
          </w:tcPr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ΠΑΡΑΠΟΜΠΗ</w:t>
            </w:r>
          </w:p>
        </w:tc>
      </w:tr>
      <w:tr w:rsidR="00A62948" w:rsidRPr="00917E1B" w:rsidTr="00E336FF">
        <w:trPr>
          <w:trHeight w:val="900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23</w:t>
            </w:r>
          </w:p>
        </w:tc>
        <w:tc>
          <w:tcPr>
            <w:tcW w:w="3069" w:type="pct"/>
            <w:shd w:val="clear" w:color="auto" w:fill="auto"/>
            <w:vAlign w:val="bottom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 xml:space="preserve">Να έχει τη δυνατότητα ταχέως διαχωρισμού των CD4+ κυττάρων. Να περιέχει 2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mL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CD4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microbeads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rat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. Να είναι συμβατό με την τεχνολογία MACS και να επαρκεί για 100 απομονώσεις. Να είναι συμβατό με μαγνήτη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midi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MACS και στήλες LS ή/και με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μαγννήτη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mini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MACS και στήλες MS                                              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62948" w:rsidRPr="00917E1B" w:rsidTr="00E336FF">
        <w:trPr>
          <w:trHeight w:val="900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24</w:t>
            </w:r>
          </w:p>
        </w:tc>
        <w:tc>
          <w:tcPr>
            <w:tcW w:w="3069" w:type="pct"/>
            <w:shd w:val="clear" w:color="auto" w:fill="auto"/>
            <w:vAlign w:val="bottom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 xml:space="preserve">Να έχει τη δυνατότητα ταχέως διαχωρισμού των CD45R+ κυττάρων.   Να περιέχει 2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mL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CD45R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microbeads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rat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                                                          Να είναι συμβατό με την τεχνολογία MACS και να επαρκεί για 100 απομονώσεις.                                                                                                     Να είναι συμβατό με μαγνήτη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midi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MACS και στήλες LS ή/και με μαγνήτη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mini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MACS και στήλες MS                                              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62948" w:rsidRPr="00917E1B" w:rsidTr="00E336FF">
        <w:trPr>
          <w:trHeight w:val="943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25</w:t>
            </w:r>
          </w:p>
        </w:tc>
        <w:tc>
          <w:tcPr>
            <w:tcW w:w="3069" w:type="pct"/>
            <w:shd w:val="clear" w:color="auto" w:fill="auto"/>
            <w:vAlign w:val="bottom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 xml:space="preserve">Να έχει τη δυνατότητα ταχέως διαχωρισμού των κυττάρων που είναι συνδεδεμένα με FITC.                                                                                                                            Να περιέχει 2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mL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Anti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-FITC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MicroBeads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                                                         Να είναι συμβατό με την τεχνολογία MACS και να επαρκεί για έως και 200 απομονώσεις.                                                                                                     Να είναι συμβατό με μαγνήτη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midi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MACS και στήλες LS ή/και με μαγνήτη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mini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MACS και στήλες MS                                              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62948" w:rsidRPr="00917E1B" w:rsidTr="00E336FF">
        <w:trPr>
          <w:trHeight w:val="900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lastRenderedPageBreak/>
              <w:t>26</w:t>
            </w:r>
          </w:p>
        </w:tc>
        <w:tc>
          <w:tcPr>
            <w:tcW w:w="3069" w:type="pct"/>
            <w:shd w:val="clear" w:color="auto" w:fill="auto"/>
            <w:vAlign w:val="bottom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 xml:space="preserve">Στήλες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ανοσομαγνητικού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διαχωρισμού μεγάλης κλίμακας (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Large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Scale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). Κατάλληλες για διαχωρισμούς έως 10e8 σεσημασμένων κυττάρων από σύνολο 2x10e9 αρχικού δείγματος με την τεχνολογία MACS. Να είναι αποστειρωμένες και έτοιμες για χρήση.                                                                                           Συσκευασία των 25 τεμαχίων                       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62948" w:rsidRPr="00917E1B" w:rsidTr="00E336FF">
        <w:trPr>
          <w:trHeight w:val="315"/>
        </w:trPr>
        <w:tc>
          <w:tcPr>
            <w:tcW w:w="5000" w:type="pct"/>
            <w:gridSpan w:val="5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917E1B">
              <w:rPr>
                <w:szCs w:val="22"/>
                <w:lang w:val="el-GR" w:eastAsia="el-GR"/>
              </w:rPr>
              <w:t> </w:t>
            </w:r>
          </w:p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 </w:t>
            </w:r>
            <w:r>
              <w:rPr>
                <w:b/>
                <w:bCs/>
                <w:color w:val="000000"/>
                <w:szCs w:val="22"/>
                <w:lang w:val="el-GR" w:eastAsia="el-GR"/>
              </w:rPr>
              <w:t>Ομάδα 5</w:t>
            </w:r>
            <w:r w:rsidRPr="00917E1B">
              <w:rPr>
                <w:b/>
                <w:bCs/>
                <w:color w:val="000000"/>
                <w:szCs w:val="22"/>
                <w:lang w:val="el-GR" w:eastAsia="el-GR"/>
              </w:rPr>
              <w:t xml:space="preserve"> (Προσφορά για το σύνολο των προϊόντων)</w:t>
            </w:r>
          </w:p>
        </w:tc>
      </w:tr>
      <w:tr w:rsidR="00A62948" w:rsidRPr="00917E1B" w:rsidTr="00A62948">
        <w:trPr>
          <w:trHeight w:val="1144"/>
        </w:trPr>
        <w:tc>
          <w:tcPr>
            <w:tcW w:w="294" w:type="pct"/>
            <w:shd w:val="clear" w:color="auto" w:fill="F2F2F2" w:themeFill="background1" w:themeFillShade="F2"/>
            <w:noWrap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917E1B">
              <w:rPr>
                <w:b/>
                <w:bCs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3069" w:type="pct"/>
            <w:shd w:val="clear" w:color="auto" w:fill="F2F2F2" w:themeFill="background1" w:themeFillShade="F2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917E1B">
              <w:rPr>
                <w:b/>
                <w:bCs/>
                <w:szCs w:val="22"/>
                <w:lang w:val="el-GR" w:eastAsia="el-GR"/>
              </w:rPr>
              <w:t>Τεχνικά χαρακτηριστικά</w:t>
            </w:r>
          </w:p>
        </w:tc>
        <w:tc>
          <w:tcPr>
            <w:tcW w:w="431" w:type="pct"/>
            <w:shd w:val="clear" w:color="auto" w:fill="F2F2F2" w:themeFill="background1" w:themeFillShade="F2"/>
          </w:tcPr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433" w:type="pct"/>
            <w:shd w:val="clear" w:color="auto" w:fill="F2F2F2" w:themeFill="background1" w:themeFillShade="F2"/>
          </w:tcPr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ΟΧΙ</w:t>
            </w:r>
          </w:p>
        </w:tc>
        <w:tc>
          <w:tcPr>
            <w:tcW w:w="773" w:type="pct"/>
            <w:shd w:val="clear" w:color="auto" w:fill="F2F2F2" w:themeFill="background1" w:themeFillShade="F2"/>
          </w:tcPr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ΠΑΡΑΠΟΜΠΗ</w:t>
            </w:r>
          </w:p>
        </w:tc>
      </w:tr>
      <w:tr w:rsidR="00A62948" w:rsidRPr="00917E1B" w:rsidTr="00E336FF">
        <w:trPr>
          <w:trHeight w:val="3150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27</w:t>
            </w:r>
          </w:p>
        </w:tc>
        <w:tc>
          <w:tcPr>
            <w:tcW w:w="3069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n-US" w:eastAsia="el-GR"/>
              </w:rPr>
              <w:t xml:space="preserve">T helper Cytokine bead-based panel. </w:t>
            </w:r>
            <w:r w:rsidRPr="00917E1B">
              <w:rPr>
                <w:color w:val="000000"/>
                <w:szCs w:val="22"/>
                <w:lang w:val="el-GR" w:eastAsia="el-GR"/>
              </w:rPr>
              <w:t xml:space="preserve">Βασισμένο σε σφαιρίδια πάνελ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πολυπλεκτικής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δοκιμασίας που χρησιμοποιεί σφαιρίδια με</w:t>
            </w:r>
            <w:r w:rsidRPr="00917E1B">
              <w:rPr>
                <w:color w:val="000000"/>
                <w:szCs w:val="22"/>
                <w:lang w:val="el-GR" w:eastAsia="el-GR"/>
              </w:rPr>
              <w:br/>
              <w:t xml:space="preserve">κωδικοποίηση φθορισμού, κατάλληλη για χρήση σε διάφορα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κυτταρόμετρα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ροής. Επιτρέπει την ταυτόχρονη ποσοτικοποίηση 11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κυτοκινών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αρουραίου, συμπεριλαμβανομένων των IL-5, IL-2, IL-4, Il-17F, IL-13, IL-22, IL-6, IL-17A, GM-CSF, IFN-γ, TNF-a. Τα παραπάνω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μεμόνωμένα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σφαιρίδια να παρέχονται σε συγκέντρωση 13x. Να περιληφθούν τα αντίστοιχα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standard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detection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antibodies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Buffer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Set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και V-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bottom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plate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. Να δίνεται η πρόσβαση σε χρήση του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data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analysis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software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program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δωρεάν.</w:t>
            </w:r>
            <w:r w:rsidRPr="00917E1B">
              <w:rPr>
                <w:color w:val="000000"/>
                <w:szCs w:val="22"/>
                <w:lang w:val="el-GR" w:eastAsia="el-GR"/>
              </w:rPr>
              <w:br/>
              <w:t xml:space="preserve">Το πάνελ ανάλυσης παρέχει υψηλότερη ευαισθησία ανίχνευσης και ευρύτερο δυναμικό εύρος από τις παραδοσιακές μεθόδους ELISA. Το πάνελ έχει επικυρωθεί για χρήση σε δείγματα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ορού,πλάσματος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και υπερκειμένου ιστοκαλλιέργειας. Τα αντιδραστήρια να είναι επαρκή για 100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tests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l-GR"/>
              </w:rPr>
            </w:pPr>
          </w:p>
        </w:tc>
      </w:tr>
      <w:tr w:rsidR="00A62948" w:rsidRPr="00917E1B" w:rsidTr="00E336FF">
        <w:trPr>
          <w:trHeight w:val="1260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28</w:t>
            </w:r>
          </w:p>
        </w:tc>
        <w:tc>
          <w:tcPr>
            <w:tcW w:w="3069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Rat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IL-10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Capture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Bead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. Κωδικοποιημένο με φθορισμό σφαιρίδιο, συζευγμένο με αντίσωμα έναντι της IL-10 αρουραίου στην επιφάνειά του και το οποίο χρησιμεύει για τον εντοπισμό και την ποσοτικοποίηση της IL-10 σε δείγμα ορού, πλάσματος και υπερκειμένου ιστοκαλλιέργειας. Κατάλληλο για χρήση σε διάφορα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κυτταρόμετρα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ροής. Ποσότητα επαρκής για 100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tests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62948" w:rsidRPr="00917E1B" w:rsidTr="00E336FF">
        <w:trPr>
          <w:trHeight w:val="2520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lastRenderedPageBreak/>
              <w:t>29</w:t>
            </w:r>
          </w:p>
        </w:tc>
        <w:tc>
          <w:tcPr>
            <w:tcW w:w="3069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n-US" w:eastAsia="el-GR"/>
              </w:rPr>
              <w:t xml:space="preserve">Rat Inflammation bead-based Panel. </w:t>
            </w:r>
            <w:r w:rsidRPr="00917E1B">
              <w:rPr>
                <w:color w:val="000000"/>
                <w:szCs w:val="22"/>
                <w:lang w:val="el-GR" w:eastAsia="el-GR"/>
              </w:rPr>
              <w:t xml:space="preserve">Βασισμένο σε σφαιρίδια πάνελ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πολυπλεκτικής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δοκιμασίας που χρησιμοποιεί σφαιρίδια με κωδικοποίηση φθορισμού, κατάλληλη για χρήση σε διάφορα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κυτταρόμετρα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ροής. Επιτρέπει την ταυτόχρονη ποσοτικοποίηση 4 φλεγμονωδών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κυτοκινών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αρουραίου, συμπεριλαμβανομένων των IL-1α, IL-1β, IL-12p70, IL-18. Τα παραπάνω μεμονωμένα σφαιρίδια να παρέχονται σε συγκέντρωση 13x. Να περιληφθούν τα αντίστοιχα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standard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detection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antibodies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Buffer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Set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και V-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bottom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plate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. Να δίνεται η πρόσβαση σε χρήση του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data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analysis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software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program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δωρεάν. Το πάνελ ανάλυσης παρέχει υψηλότερη ευαισθησία ανίχνευσης και ευρύτερο δυναμικό εύρος από τις παραδοσιακές μεθόδους ELISA. Το πάνελ έχει επικυρωθεί για χρήση σε δείγματα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ορού,πλάσματος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και υπερκειμένου ιστοκαλλιέργειας. Τα αντιδραστήρια να είναι επαρκή για 100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tests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l-GR"/>
              </w:rPr>
            </w:pPr>
          </w:p>
        </w:tc>
      </w:tr>
      <w:tr w:rsidR="00A62948" w:rsidRPr="00917E1B" w:rsidTr="00E336FF">
        <w:trPr>
          <w:trHeight w:val="2542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30</w:t>
            </w:r>
          </w:p>
        </w:tc>
        <w:tc>
          <w:tcPr>
            <w:tcW w:w="3069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n-US" w:eastAsia="el-GR"/>
              </w:rPr>
              <w:t>Mouse/Rat Free Active/Total TGF-</w:t>
            </w:r>
            <w:r w:rsidRPr="00917E1B">
              <w:rPr>
                <w:color w:val="000000"/>
                <w:szCs w:val="22"/>
                <w:lang w:val="el-GR" w:eastAsia="el-GR"/>
              </w:rPr>
              <w:t>β</w:t>
            </w:r>
            <w:r w:rsidRPr="00917E1B">
              <w:rPr>
                <w:color w:val="000000"/>
                <w:szCs w:val="22"/>
                <w:lang w:val="en-US" w:eastAsia="el-GR"/>
              </w:rPr>
              <w:t xml:space="preserve">1 bead-based Assay.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Μονοπλεκτική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δοκιμασία που ανήκει σε σύστημα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πολυπλεκτικής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δοκιμασίας βασισμένης σε σφαιρίδια με κωδικοποίηση φθορισμού, κατάλληλη για χρήση σε διάφορα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κυτταρόμετρα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ροής. Η δοκιμασία επιτρέπει την ποσοτικοποίηση είτε του ελεύθερου ενεργού TGF-β1 χωρίς την επεξεργασία δείγματος είτε του ολικού TGF-β1 κατόπιν επεξεργασίας δείγματος. Η δοκιμασία παρέχει υψηλότερη ευαισθησία ανίχνευσης και ευρύτερο δυναμικό εύρος από τις παραδοσιακές μεθόδους ELISA. Η δοκιμασία έχει επικυρωθεί για χρήση σε δείγματα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ορού,πλάσματος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και υπερκειμένου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κυτταροκαλλιέργειας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. Το</w:t>
            </w:r>
            <w:r w:rsidRPr="00917E1B">
              <w:rPr>
                <w:color w:val="000000"/>
                <w:szCs w:val="22"/>
                <w:lang w:val="en-US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κιτ</w:t>
            </w:r>
            <w:proofErr w:type="spellEnd"/>
            <w:r w:rsidRPr="00917E1B">
              <w:rPr>
                <w:color w:val="000000"/>
                <w:szCs w:val="22"/>
                <w:lang w:val="en-US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να</w:t>
            </w:r>
            <w:r w:rsidRPr="00917E1B">
              <w:rPr>
                <w:color w:val="000000"/>
                <w:szCs w:val="22"/>
                <w:lang w:val="en-US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περιέχει</w:t>
            </w:r>
            <w:r w:rsidRPr="00917E1B">
              <w:rPr>
                <w:color w:val="000000"/>
                <w:szCs w:val="22"/>
                <w:lang w:val="en-US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τα</w:t>
            </w:r>
            <w:r w:rsidRPr="00917E1B">
              <w:rPr>
                <w:color w:val="000000"/>
                <w:szCs w:val="22"/>
                <w:lang w:val="en-US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εξής</w:t>
            </w:r>
            <w:r w:rsidRPr="00917E1B">
              <w:rPr>
                <w:color w:val="000000"/>
                <w:szCs w:val="22"/>
                <w:lang w:val="en-US" w:eastAsia="el-GR"/>
              </w:rPr>
              <w:t xml:space="preserve">: Setup Beads 1: FITC Beads (1 ml), Setup Beads 2: PE Beads (1 ml), Setup Beads 3: Raw Beads (2 ml), Capture Beads (3.5 ml), Detection Antibodies (3.5 ml), Standard Cocktail, Lyophilized (1 vial), Acidification Solution (1.5 ml), Neutralization Solution (1.5 ml), Sample Diluent (25 ml) , SA-PE (3.5 ml), Matrix C, Lyophilized (1 vial) , Assay Buffer (25 ml), Wash Buffer (25 ml), Plate Sealers (4 sheets), V-bottom Plate. </w:t>
            </w:r>
            <w:r w:rsidRPr="00917E1B">
              <w:rPr>
                <w:color w:val="000000"/>
                <w:szCs w:val="22"/>
                <w:lang w:val="el-GR" w:eastAsia="el-GR"/>
              </w:rPr>
              <w:t xml:space="preserve">Να δίνεται η πρόσβαση σε χρήση του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data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analysis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software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program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δωρεάν. Τα αντιδραστήρια να είναι επαρκή για 100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tests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l-GR"/>
              </w:rPr>
            </w:pPr>
          </w:p>
        </w:tc>
      </w:tr>
      <w:tr w:rsidR="00A62948" w:rsidRPr="00917E1B" w:rsidTr="00E336FF">
        <w:trPr>
          <w:trHeight w:val="1575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lastRenderedPageBreak/>
              <w:t>31</w:t>
            </w:r>
          </w:p>
        </w:tc>
        <w:tc>
          <w:tcPr>
            <w:tcW w:w="3069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n-US" w:eastAsia="el-GR"/>
              </w:rPr>
              <w:t>PE</w:t>
            </w:r>
            <w:r w:rsidRPr="00DA75EC">
              <w:rPr>
                <w:color w:val="000000"/>
                <w:szCs w:val="22"/>
                <w:lang w:val="el-GR" w:eastAsia="el-GR"/>
              </w:rPr>
              <w:t>/</w:t>
            </w:r>
            <w:r w:rsidRPr="00917E1B">
              <w:rPr>
                <w:color w:val="000000"/>
                <w:szCs w:val="22"/>
                <w:lang w:val="en-US" w:eastAsia="el-GR"/>
              </w:rPr>
              <w:t>Cyanine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7 </w:t>
            </w:r>
            <w:r w:rsidRPr="00917E1B">
              <w:rPr>
                <w:color w:val="000000"/>
                <w:szCs w:val="22"/>
                <w:lang w:val="en-US" w:eastAsia="el-GR"/>
              </w:rPr>
              <w:t>anti</w:t>
            </w:r>
            <w:r w:rsidRPr="00DA75EC">
              <w:rPr>
                <w:color w:val="000000"/>
                <w:szCs w:val="22"/>
                <w:lang w:val="el-GR" w:eastAsia="el-GR"/>
              </w:rPr>
              <w:t>-</w:t>
            </w:r>
            <w:r w:rsidRPr="00917E1B">
              <w:rPr>
                <w:color w:val="000000"/>
                <w:szCs w:val="22"/>
                <w:lang w:val="en-US" w:eastAsia="el-GR"/>
              </w:rPr>
              <w:t>rat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CD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4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μονοκλωνικό</w:t>
            </w:r>
            <w:proofErr w:type="spellEnd"/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αντίσωμα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. </w:t>
            </w:r>
            <w:r w:rsidRPr="00917E1B">
              <w:rPr>
                <w:color w:val="000000"/>
                <w:szCs w:val="22"/>
                <w:lang w:val="el-GR" w:eastAsia="el-GR"/>
              </w:rPr>
              <w:t xml:space="preserve">Κλώνος: W3/25.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Ισότυπος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: Mouse IgG1, κ. Δραστικότητα έναντι αρουραίου.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Ανοσογόνο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: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Γλυκοπρωτεΐνες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μεμβράνης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θυμοκυττάρων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αρουραίου. Μορφή: Διάλυμα ρυθμισμένο με φωσφορικά,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pH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7.2, που περιέχει 0,09%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αζίδιο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του νατρίου. Το αντίσωμα να έχει καθαριστεί με χρωματογραφία συγγένειας. Συγκέντρωση: 0.2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mg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/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ml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. Εφαρμογές: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κυτταρομετρία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ροής. Συσκευασία: 100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μg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(ή 400 τεστ). Να διατίθεται σχετική βιβλιογραφία.</w:t>
            </w:r>
          </w:p>
        </w:tc>
        <w:tc>
          <w:tcPr>
            <w:tcW w:w="431" w:type="pct"/>
          </w:tcPr>
          <w:p w:rsidR="00A62948" w:rsidRPr="00DA75EC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DA75EC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DA75EC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62948" w:rsidRPr="00917E1B" w:rsidTr="00E336FF">
        <w:trPr>
          <w:trHeight w:val="1575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32</w:t>
            </w:r>
          </w:p>
        </w:tc>
        <w:tc>
          <w:tcPr>
            <w:tcW w:w="3069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n-US" w:eastAsia="el-GR"/>
              </w:rPr>
              <w:t>Alexa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Fluor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® 488 </w:t>
            </w:r>
            <w:r w:rsidRPr="00917E1B">
              <w:rPr>
                <w:color w:val="000000"/>
                <w:szCs w:val="22"/>
                <w:lang w:val="en-US" w:eastAsia="el-GR"/>
              </w:rPr>
              <w:t>anti</w:t>
            </w:r>
            <w:r w:rsidRPr="00DA75EC">
              <w:rPr>
                <w:color w:val="000000"/>
                <w:szCs w:val="22"/>
                <w:lang w:val="el-GR" w:eastAsia="el-GR"/>
              </w:rPr>
              <w:t>-</w:t>
            </w:r>
            <w:r w:rsidRPr="00917E1B">
              <w:rPr>
                <w:color w:val="000000"/>
                <w:szCs w:val="22"/>
                <w:lang w:val="en-US" w:eastAsia="el-GR"/>
              </w:rPr>
              <w:t>rat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CD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25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μονοκλωνικό</w:t>
            </w:r>
            <w:proofErr w:type="spellEnd"/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αντίσωμα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. </w:t>
            </w:r>
            <w:r w:rsidRPr="00917E1B">
              <w:rPr>
                <w:color w:val="000000"/>
                <w:szCs w:val="22"/>
                <w:lang w:val="el-GR" w:eastAsia="el-GR"/>
              </w:rPr>
              <w:t xml:space="preserve">Κλώνος: OX-39.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Ισότυπος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: Mouse IgG1, κ. Δραστικότητα έναντι αρουραίου.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Ανοσογόνο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: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Βλαστές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Τ-λεμφοκυττάρων αρουραίου από μικτές αντιδράσεις λεμφοκυττάρων. Μορφή: Διάλυμα ρυθμισμένο με φωσφορικά,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pH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7.2, που περιέχει 0,09%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αζίδιο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του νατρίου. Το αντίσωμα να έχει καθαριστεί με χρωματογραφία συγγένειας. Συγκέντρωση: 0.5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mg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/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ml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. Εφαρμογές: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κυτταρομετρία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ροής. Συσκευασία: 100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μg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(ή 400 τεστ). Να διατίθεται σχετική βιβλιογραφία.</w:t>
            </w:r>
          </w:p>
        </w:tc>
        <w:tc>
          <w:tcPr>
            <w:tcW w:w="431" w:type="pct"/>
          </w:tcPr>
          <w:p w:rsidR="00A62948" w:rsidRPr="00DA75EC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DA75EC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DA75EC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62948" w:rsidRPr="00917E1B" w:rsidTr="00E336FF">
        <w:trPr>
          <w:trHeight w:val="943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33</w:t>
            </w:r>
          </w:p>
        </w:tc>
        <w:tc>
          <w:tcPr>
            <w:tcW w:w="3069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 xml:space="preserve">FITC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anti-rat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CD45RA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μονοκλωνικό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αντίσωμα. Κλώνος: OX-33.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Ισότυπος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: Mouse IgG1, κ. Δραστικότητα έναντι αρουραίου.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Ανοσογόνο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: Κοινό αντιγόνο λευκοκυττάρων που απομονώθηκε από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σπληνοκύτταρα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αρουραίου. Μορφή: Διάλυμα ρυθμισμένο με φωσφορικά,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pH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7.2, που περιέχει 0,09%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αζίδιο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του νατρίου. Το αντίσωμα να έχει καθαριστεί με χρωματογραφία συγγένειας. Συγκέντρωση: 0.5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mg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/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ml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. Εφαρμογές: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κυτταρομετρία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ροής. Συσκευασία: 100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μg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(ή 400 τεστ). Να διατίθεται σχετική βιβλιογραφία.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62948" w:rsidRPr="00917E1B" w:rsidTr="00E336FF">
        <w:trPr>
          <w:trHeight w:val="1607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34</w:t>
            </w:r>
          </w:p>
        </w:tc>
        <w:tc>
          <w:tcPr>
            <w:tcW w:w="3069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n-US" w:eastAsia="el-GR"/>
              </w:rPr>
              <w:t xml:space="preserve">PE anti-rat IL-4 Antibody.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Μονοκλωνικό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αντίσωμα. Κλώνος: OX-81.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Ισότυπος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: Mouse IgG1, κ. Αντιδραστικότητα έναντι αρουραίου.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Ανοσογόνο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: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ανασυνδυασμένη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πρωτεϊνη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IL-4 αρουραίου. Σύνθεση: Ρυθμιστικό διάλυμα φωσφορικών,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ρΗ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7.2, που περιέχει 0,09%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αζίδιο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του νατρίου. Συγκέντρωση: 0.2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mg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/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ml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. Εφαρμογές: ICFC. Συσκευασία: 100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μg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/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κιτ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l-GR"/>
              </w:rPr>
            </w:pPr>
          </w:p>
        </w:tc>
      </w:tr>
      <w:tr w:rsidR="00A62948" w:rsidRPr="00917E1B" w:rsidTr="00E336FF">
        <w:trPr>
          <w:trHeight w:val="983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lastRenderedPageBreak/>
              <w:t>35</w:t>
            </w:r>
          </w:p>
        </w:tc>
        <w:tc>
          <w:tcPr>
            <w:tcW w:w="3069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n-US" w:eastAsia="el-GR"/>
              </w:rPr>
              <w:t xml:space="preserve">Alexa Fluor® 647 anti-mouse/rat/human FOXP3 Antibody.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Μονοκλωνικό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αντίσωμα. Κλώνος: 150D.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Ισότυπος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: </w:t>
            </w:r>
            <w:r w:rsidRPr="00917E1B">
              <w:rPr>
                <w:color w:val="000000"/>
                <w:szCs w:val="22"/>
                <w:lang w:val="el-GR" w:eastAsia="el-GR"/>
              </w:rPr>
              <w:br/>
              <w:t xml:space="preserve">Mouse IgG1, κ. Αντιδραστικότητα έναντι ανθρώπου, ποντικού και αρουραίου. Διασταυρούμενη αντιδραστικότητα: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Cynomolgus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Rhesus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Baboon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.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Ανοσογόνο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: Πλήρης πρωτεΐνη FOXP3. Σύνθεση: Ρυθμιστικό διάλυμα φωσφορικών,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ρΗ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7.2, που περιέχει 0,09%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αζίδιο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του νατρίου και 0.2% (w/v) BSA. Εφαρμογές: ICFC. Συσκευασία: 100 τεστ/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κιτ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. 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l-GR"/>
              </w:rPr>
            </w:pPr>
          </w:p>
        </w:tc>
      </w:tr>
      <w:tr w:rsidR="00A62948" w:rsidRPr="00917E1B" w:rsidTr="00E336FF">
        <w:trPr>
          <w:trHeight w:val="1260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36</w:t>
            </w:r>
          </w:p>
        </w:tc>
        <w:tc>
          <w:tcPr>
            <w:tcW w:w="3069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n-US" w:eastAsia="el-GR"/>
              </w:rPr>
              <w:t>Alexa Fluor® 647 anti-rat IFN-</w:t>
            </w:r>
            <w:r w:rsidRPr="00917E1B">
              <w:rPr>
                <w:color w:val="000000"/>
                <w:szCs w:val="22"/>
                <w:lang w:val="el-GR" w:eastAsia="el-GR"/>
              </w:rPr>
              <w:t>γ</w:t>
            </w:r>
            <w:r w:rsidRPr="00917E1B">
              <w:rPr>
                <w:color w:val="000000"/>
                <w:szCs w:val="22"/>
                <w:lang w:val="en-US" w:eastAsia="el-GR"/>
              </w:rPr>
              <w:t xml:space="preserve"> Antibody.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Μονοκλωνικό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αντίσωμα. Κλώνος: DB-1.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Ισότυπος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: Mouse IgG1, κ. Αντιδραστικότητα έναντι ποντικού και αρουραίου.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Ανοσογόνο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: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ανασυνδυασμένη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πρωτεϊνη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IFN-γ αρουραίου. Σύνθεση: Ρυθμιστικό διάλυμα φωσφορικών,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ρΗ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7.2, που περιέχει 0,09%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αζίδιο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του νατρίου και 0,2% (w/v) BSA. Εφαρμογές: ICFC. Συσκευασία: 100 τεστ/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κιτ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l-GR"/>
              </w:rPr>
            </w:pPr>
          </w:p>
        </w:tc>
      </w:tr>
      <w:tr w:rsidR="00A62948" w:rsidRPr="00B15729" w:rsidTr="00E336FF">
        <w:trPr>
          <w:trHeight w:val="300"/>
        </w:trPr>
        <w:tc>
          <w:tcPr>
            <w:tcW w:w="5000" w:type="pct"/>
            <w:gridSpan w:val="5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 </w:t>
            </w:r>
          </w:p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Ομάδα 6</w:t>
            </w:r>
            <w:r w:rsidRPr="00917E1B">
              <w:rPr>
                <w:b/>
                <w:bCs/>
                <w:color w:val="000000"/>
                <w:szCs w:val="22"/>
                <w:lang w:val="el-GR" w:eastAsia="el-GR"/>
              </w:rPr>
              <w:t>(Προσφορά για το σύνολο των προϊόντων)</w:t>
            </w:r>
          </w:p>
        </w:tc>
      </w:tr>
      <w:tr w:rsidR="00A62948" w:rsidRPr="00917E1B" w:rsidTr="00A62948">
        <w:trPr>
          <w:trHeight w:val="1500"/>
        </w:trPr>
        <w:tc>
          <w:tcPr>
            <w:tcW w:w="294" w:type="pct"/>
            <w:shd w:val="clear" w:color="auto" w:fill="F2F2F2" w:themeFill="background1" w:themeFillShade="F2"/>
            <w:noWrap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917E1B">
              <w:rPr>
                <w:b/>
                <w:bCs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3069" w:type="pct"/>
            <w:shd w:val="clear" w:color="auto" w:fill="F2F2F2" w:themeFill="background1" w:themeFillShade="F2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917E1B">
              <w:rPr>
                <w:b/>
                <w:bCs/>
                <w:szCs w:val="22"/>
                <w:lang w:val="el-GR" w:eastAsia="el-GR"/>
              </w:rPr>
              <w:t>Τεχνικά χαρακτηριστικά</w:t>
            </w:r>
          </w:p>
        </w:tc>
        <w:tc>
          <w:tcPr>
            <w:tcW w:w="431" w:type="pct"/>
            <w:shd w:val="clear" w:color="auto" w:fill="F2F2F2" w:themeFill="background1" w:themeFillShade="F2"/>
          </w:tcPr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433" w:type="pct"/>
            <w:shd w:val="clear" w:color="auto" w:fill="F2F2F2" w:themeFill="background1" w:themeFillShade="F2"/>
          </w:tcPr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ΟΧΙ</w:t>
            </w:r>
          </w:p>
        </w:tc>
        <w:tc>
          <w:tcPr>
            <w:tcW w:w="773" w:type="pct"/>
            <w:shd w:val="clear" w:color="auto" w:fill="F2F2F2" w:themeFill="background1" w:themeFillShade="F2"/>
          </w:tcPr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ΠΑΡΑΠΟΜΠΗ</w:t>
            </w:r>
          </w:p>
        </w:tc>
      </w:tr>
      <w:tr w:rsidR="00A62948" w:rsidRPr="00917E1B" w:rsidTr="00E336FF">
        <w:trPr>
          <w:trHeight w:val="376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37</w:t>
            </w:r>
          </w:p>
        </w:tc>
        <w:tc>
          <w:tcPr>
            <w:tcW w:w="3069" w:type="pct"/>
            <w:shd w:val="clear" w:color="auto" w:fill="auto"/>
            <w:vAlign w:val="bottom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 xml:space="preserve">Πλήρες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kit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 ταχείας απομόνωσης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γενωμικού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DNA  από  κύτταρα, ολικό αίμα (νωπό ή παγωμένο), ιστούς κ.α. με στήλες (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spin-columns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).  Το DNA που απομονώνεται να είναι  υψηλής ποιότητας (A260/280 ≥ 1.8 και A260/230 ≥ 2.0, RNA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Content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&lt; 1%, 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high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peak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size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≥ 50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kb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), κατάλληλο για εφαρμογές όπως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end-point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PCR,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qPCR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και  NGS. Να δύναται να χρησιμοποιηθεί με αρχική ποσότητα  έως 25mg  ιστού,  1 x 104 έως 5x106  κύτταρα και έως 100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μl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ολικό αίμα. Το DNA να συλλέγεται σε όγκο διαλύματος, ≥35 µl. Το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κιτ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να περιλαμβάνει τις στήλες απομόνωσης και συλλογής του DNA (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Purification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Columns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/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Collection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Tubes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) ξεχωριστό διάλυμα λύσης για κάθε είδος δείγματος  (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tissue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lysis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buffer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cell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lysis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buffer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blood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lysis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buffer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) και τα αντίστοιχα διαλύματα για την πρόσδεση,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έκπλυση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και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έκλουση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του DNA. Επίσης</w:t>
            </w:r>
            <w:r w:rsidRPr="00917E1B">
              <w:rPr>
                <w:color w:val="000000"/>
                <w:szCs w:val="22"/>
                <w:lang w:val="en-US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να</w:t>
            </w:r>
            <w:r w:rsidRPr="00917E1B">
              <w:rPr>
                <w:color w:val="000000"/>
                <w:szCs w:val="22"/>
                <w:lang w:val="en-US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περιέχει</w:t>
            </w:r>
            <w:r w:rsidRPr="00917E1B">
              <w:rPr>
                <w:color w:val="000000"/>
                <w:szCs w:val="22"/>
                <w:lang w:val="en-US" w:eastAsia="el-GR"/>
              </w:rPr>
              <w:t xml:space="preserve">   Proteinase K  Molecular Biology Grade conc. 800 </w:t>
            </w:r>
            <w:r w:rsidRPr="00917E1B">
              <w:rPr>
                <w:color w:val="000000"/>
                <w:szCs w:val="22"/>
                <w:lang w:val="en-US" w:eastAsia="el-GR"/>
              </w:rPr>
              <w:lastRenderedPageBreak/>
              <w:t xml:space="preserve">units/ml </w:t>
            </w:r>
            <w:r w:rsidRPr="00917E1B">
              <w:rPr>
                <w:color w:val="000000"/>
                <w:szCs w:val="22"/>
                <w:lang w:val="el-GR" w:eastAsia="el-GR"/>
              </w:rPr>
              <w:t>και</w:t>
            </w:r>
            <w:r w:rsidRPr="00917E1B">
              <w:rPr>
                <w:color w:val="000000"/>
                <w:szCs w:val="22"/>
                <w:lang w:val="en-US" w:eastAsia="el-GR"/>
              </w:rPr>
              <w:t xml:space="preserve"> RNase A conc. </w:t>
            </w:r>
            <w:r w:rsidRPr="00917E1B">
              <w:rPr>
                <w:color w:val="000000"/>
                <w:szCs w:val="22"/>
                <w:lang w:val="el-GR" w:eastAsia="el-GR"/>
              </w:rPr>
              <w:t xml:space="preserve">20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mg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/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ml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.  Συσκευασία των 150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preps</w:t>
            </w:r>
            <w:proofErr w:type="spellEnd"/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62948" w:rsidRPr="00917E1B" w:rsidTr="00E336FF">
        <w:trPr>
          <w:trHeight w:val="2700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lastRenderedPageBreak/>
              <w:t>38</w:t>
            </w:r>
          </w:p>
        </w:tc>
        <w:tc>
          <w:tcPr>
            <w:tcW w:w="3069" w:type="pct"/>
            <w:shd w:val="clear" w:color="auto" w:fill="auto"/>
            <w:vAlign w:val="bottom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Πλήρες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kit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universal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για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την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ταχεία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απομόνωση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ολικού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RNA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 </w:t>
            </w:r>
            <w:r w:rsidRPr="00917E1B">
              <w:rPr>
                <w:color w:val="000000"/>
                <w:szCs w:val="22"/>
                <w:lang w:val="el-GR" w:eastAsia="el-GR"/>
              </w:rPr>
              <w:t>από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κύτταρα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καλλιέργειας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 (</w:t>
            </w:r>
            <w:r w:rsidRPr="00917E1B">
              <w:rPr>
                <w:color w:val="000000"/>
                <w:szCs w:val="22"/>
                <w:lang w:val="el-GR" w:eastAsia="el-GR"/>
              </w:rPr>
              <w:t>έως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1</w:t>
            </w:r>
            <w:r w:rsidRPr="00917E1B">
              <w:rPr>
                <w:color w:val="000000"/>
                <w:szCs w:val="22"/>
                <w:lang w:val="en-US" w:eastAsia="el-GR"/>
              </w:rPr>
              <w:t>x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107 </w:t>
            </w:r>
            <w:r w:rsidRPr="00917E1B">
              <w:rPr>
                <w:color w:val="000000"/>
                <w:szCs w:val="22"/>
                <w:lang w:val="en-US" w:eastAsia="el-GR"/>
              </w:rPr>
              <w:t>cells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) </w:t>
            </w:r>
            <w:r w:rsidRPr="00917E1B">
              <w:rPr>
                <w:color w:val="000000"/>
                <w:szCs w:val="22"/>
                <w:lang w:val="el-GR" w:eastAsia="el-GR"/>
              </w:rPr>
              <w:t>ή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αίματος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(</w:t>
            </w:r>
            <w:r w:rsidRPr="00917E1B">
              <w:rPr>
                <w:color w:val="000000"/>
                <w:szCs w:val="22"/>
                <w:lang w:val="en-US" w:eastAsia="el-GR"/>
              </w:rPr>
              <w:t>PBMC</w:t>
            </w:r>
            <w:r w:rsidRPr="00DA75EC">
              <w:rPr>
                <w:color w:val="000000"/>
                <w:szCs w:val="22"/>
                <w:lang w:val="el-GR" w:eastAsia="el-GR"/>
              </w:rPr>
              <w:t>'</w:t>
            </w:r>
            <w:r w:rsidRPr="00917E1B">
              <w:rPr>
                <w:color w:val="000000"/>
                <w:szCs w:val="22"/>
                <w:lang w:val="en-US" w:eastAsia="el-GR"/>
              </w:rPr>
              <w:t>s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, </w:t>
            </w:r>
            <w:r w:rsidRPr="00917E1B">
              <w:rPr>
                <w:color w:val="000000"/>
                <w:szCs w:val="22"/>
                <w:lang w:val="en-US" w:eastAsia="el-GR"/>
              </w:rPr>
              <w:t>WBC</w:t>
            </w:r>
            <w:r w:rsidRPr="00DA75EC">
              <w:rPr>
                <w:color w:val="000000"/>
                <w:szCs w:val="22"/>
                <w:lang w:val="el-GR" w:eastAsia="el-GR"/>
              </w:rPr>
              <w:t>'</w:t>
            </w:r>
            <w:r w:rsidRPr="00917E1B">
              <w:rPr>
                <w:color w:val="000000"/>
                <w:szCs w:val="22"/>
                <w:lang w:val="en-US" w:eastAsia="el-GR"/>
              </w:rPr>
              <w:t>s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), </w:t>
            </w:r>
            <w:r w:rsidRPr="00917E1B">
              <w:rPr>
                <w:color w:val="000000"/>
                <w:szCs w:val="22"/>
                <w:lang w:val="el-GR" w:eastAsia="el-GR"/>
              </w:rPr>
              <w:t>ολικό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αίμα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(</w:t>
            </w:r>
            <w:r w:rsidRPr="00917E1B">
              <w:rPr>
                <w:color w:val="000000"/>
                <w:szCs w:val="22"/>
                <w:lang w:val="el-GR" w:eastAsia="el-GR"/>
              </w:rPr>
              <w:t>έως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3</w:t>
            </w:r>
            <w:r w:rsidRPr="00917E1B">
              <w:rPr>
                <w:color w:val="000000"/>
                <w:szCs w:val="22"/>
                <w:lang w:val="en-US" w:eastAsia="el-GR"/>
              </w:rPr>
              <w:t>ml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), </w:t>
            </w:r>
            <w:r w:rsidRPr="00917E1B">
              <w:rPr>
                <w:color w:val="000000"/>
                <w:szCs w:val="22"/>
                <w:lang w:val="el-GR" w:eastAsia="el-GR"/>
              </w:rPr>
              <w:t>ιστούς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(</w:t>
            </w:r>
            <w:r w:rsidRPr="00917E1B">
              <w:rPr>
                <w:color w:val="000000"/>
                <w:szCs w:val="22"/>
                <w:lang w:val="el-GR" w:eastAsia="el-GR"/>
              </w:rPr>
              <w:t>έως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50</w:t>
            </w:r>
            <w:r w:rsidRPr="00917E1B">
              <w:rPr>
                <w:color w:val="000000"/>
                <w:szCs w:val="22"/>
                <w:lang w:val="en-US" w:eastAsia="el-GR"/>
              </w:rPr>
              <w:t>mg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),  </w:t>
            </w:r>
            <w:r w:rsidRPr="00917E1B">
              <w:rPr>
                <w:color w:val="000000"/>
                <w:szCs w:val="22"/>
                <w:lang w:val="el-GR" w:eastAsia="el-GR"/>
              </w:rPr>
              <w:t>βακτήρια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(</w:t>
            </w:r>
            <w:r w:rsidRPr="00917E1B">
              <w:rPr>
                <w:color w:val="000000"/>
                <w:szCs w:val="22"/>
                <w:lang w:val="el-GR" w:eastAsia="el-GR"/>
              </w:rPr>
              <w:t>έως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1 </w:t>
            </w:r>
            <w:r w:rsidRPr="00917E1B">
              <w:rPr>
                <w:color w:val="000000"/>
                <w:szCs w:val="22"/>
                <w:lang w:val="en-US" w:eastAsia="el-GR"/>
              </w:rPr>
              <w:t>x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109) </w:t>
            </w:r>
            <w:r w:rsidRPr="00917E1B">
              <w:rPr>
                <w:color w:val="000000"/>
                <w:szCs w:val="22"/>
                <w:lang w:val="el-GR" w:eastAsia="el-GR"/>
              </w:rPr>
              <w:t>κ</w:t>
            </w:r>
            <w:r w:rsidRPr="00DA75EC">
              <w:rPr>
                <w:color w:val="000000"/>
                <w:szCs w:val="22"/>
                <w:lang w:val="el-GR" w:eastAsia="el-GR"/>
              </w:rPr>
              <w:t>.</w:t>
            </w:r>
            <w:r w:rsidRPr="00917E1B">
              <w:rPr>
                <w:color w:val="000000"/>
                <w:szCs w:val="22"/>
                <w:lang w:val="el-GR" w:eastAsia="el-GR"/>
              </w:rPr>
              <w:t>α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. </w:t>
            </w:r>
            <w:r w:rsidRPr="00917E1B">
              <w:rPr>
                <w:color w:val="000000"/>
                <w:szCs w:val="22"/>
                <w:lang w:val="el-GR" w:eastAsia="el-GR"/>
              </w:rPr>
              <w:t>με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στήλες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(</w:t>
            </w:r>
            <w:r w:rsidRPr="00917E1B">
              <w:rPr>
                <w:color w:val="000000"/>
                <w:szCs w:val="22"/>
                <w:lang w:val="en-US" w:eastAsia="el-GR"/>
              </w:rPr>
              <w:t>spin</w:t>
            </w:r>
            <w:r w:rsidRPr="00DA75EC">
              <w:rPr>
                <w:color w:val="000000"/>
                <w:szCs w:val="22"/>
                <w:lang w:val="el-GR" w:eastAsia="el-GR"/>
              </w:rPr>
              <w:t>-</w:t>
            </w:r>
            <w:r w:rsidRPr="00917E1B">
              <w:rPr>
                <w:color w:val="000000"/>
                <w:szCs w:val="22"/>
                <w:lang w:val="en-US" w:eastAsia="el-GR"/>
              </w:rPr>
              <w:t>columns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).               </w:t>
            </w:r>
            <w:r w:rsidRPr="00917E1B">
              <w:rPr>
                <w:color w:val="000000"/>
                <w:szCs w:val="22"/>
                <w:lang w:val="el-GR" w:eastAsia="el-GR"/>
              </w:rPr>
              <w:t>Το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RNA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που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απομονώνεται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να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είναι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 </w:t>
            </w:r>
            <w:r w:rsidRPr="00917E1B">
              <w:rPr>
                <w:color w:val="000000"/>
                <w:szCs w:val="22"/>
                <w:lang w:val="el-GR" w:eastAsia="el-GR"/>
              </w:rPr>
              <w:t>υψηλής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ποιότητας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(</w:t>
            </w:r>
            <w:r w:rsidRPr="00917E1B">
              <w:rPr>
                <w:color w:val="000000"/>
                <w:szCs w:val="22"/>
                <w:lang w:val="en-US" w:eastAsia="el-GR"/>
              </w:rPr>
              <w:t>A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260/280 </w:t>
            </w:r>
            <w:r w:rsidRPr="00917E1B">
              <w:rPr>
                <w:color w:val="000000"/>
                <w:szCs w:val="22"/>
                <w:lang w:val="en-US" w:eastAsia="el-GR"/>
              </w:rPr>
              <w:t>and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A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260/230 </w:t>
            </w:r>
            <w:r w:rsidRPr="00917E1B">
              <w:rPr>
                <w:color w:val="000000"/>
                <w:szCs w:val="22"/>
                <w:lang w:val="en-US" w:eastAsia="el-GR"/>
              </w:rPr>
              <w:t>ratios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&gt;1.8, </w:t>
            </w:r>
            <w:r w:rsidRPr="00917E1B">
              <w:rPr>
                <w:color w:val="000000"/>
                <w:szCs w:val="22"/>
                <w:lang w:val="en-US" w:eastAsia="el-GR"/>
              </w:rPr>
              <w:t>high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RIN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scores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)  </w:t>
            </w:r>
            <w:r w:rsidRPr="00917E1B">
              <w:rPr>
                <w:color w:val="000000"/>
                <w:szCs w:val="22"/>
                <w:lang w:val="el-GR" w:eastAsia="el-GR"/>
              </w:rPr>
              <w:t>κατάλληλο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για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εφαρμογές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RT</w:t>
            </w:r>
            <w:r w:rsidRPr="00DA75EC">
              <w:rPr>
                <w:color w:val="000000"/>
                <w:szCs w:val="22"/>
                <w:lang w:val="el-GR" w:eastAsia="el-GR"/>
              </w:rPr>
              <w:t>-</w:t>
            </w:r>
            <w:r w:rsidRPr="00917E1B">
              <w:rPr>
                <w:color w:val="000000"/>
                <w:szCs w:val="22"/>
                <w:lang w:val="en-US" w:eastAsia="el-GR"/>
              </w:rPr>
              <w:t>qPCR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, </w:t>
            </w:r>
            <w:r w:rsidRPr="00917E1B">
              <w:rPr>
                <w:color w:val="000000"/>
                <w:szCs w:val="22"/>
                <w:lang w:val="en-US" w:eastAsia="el-GR"/>
              </w:rPr>
              <w:t>cDNA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synthesis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, </w:t>
            </w:r>
            <w:r w:rsidRPr="00917E1B">
              <w:rPr>
                <w:color w:val="000000"/>
                <w:szCs w:val="22"/>
                <w:lang w:val="en-US" w:eastAsia="el-GR"/>
              </w:rPr>
              <w:t>RNA</w:t>
            </w:r>
            <w:r w:rsidRPr="00DA75EC">
              <w:rPr>
                <w:color w:val="000000"/>
                <w:szCs w:val="22"/>
                <w:lang w:val="el-GR" w:eastAsia="el-GR"/>
              </w:rPr>
              <w:t>-</w:t>
            </w:r>
            <w:proofErr w:type="spellStart"/>
            <w:r w:rsidRPr="00917E1B">
              <w:rPr>
                <w:color w:val="000000"/>
                <w:szCs w:val="22"/>
                <w:lang w:val="en-US" w:eastAsia="el-GR"/>
              </w:rPr>
              <w:t>seq</w:t>
            </w:r>
            <w:proofErr w:type="spellEnd"/>
            <w:r w:rsidRPr="00DA75EC">
              <w:rPr>
                <w:color w:val="000000"/>
                <w:szCs w:val="22"/>
                <w:lang w:val="el-GR" w:eastAsia="el-GR"/>
              </w:rPr>
              <w:t xml:space="preserve">, </w:t>
            </w:r>
            <w:r w:rsidRPr="00917E1B">
              <w:rPr>
                <w:color w:val="000000"/>
                <w:szCs w:val="22"/>
                <w:lang w:val="en-US" w:eastAsia="el-GR"/>
              </w:rPr>
              <w:t>Northern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blot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analysis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. </w:t>
            </w:r>
            <w:r w:rsidRPr="00917E1B">
              <w:rPr>
                <w:color w:val="000000"/>
                <w:szCs w:val="22"/>
                <w:lang w:val="el-GR" w:eastAsia="el-GR"/>
              </w:rPr>
              <w:t xml:space="preserve">Να παρέχει τη δυνατότητα απομόνωσης 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RNAs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&gt;20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nt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καθώς και επιλεκτικής απομόνωσης μόνο των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microRNAs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. </w:t>
            </w:r>
            <w:r w:rsidRPr="00917E1B">
              <w:rPr>
                <w:color w:val="000000"/>
                <w:szCs w:val="22"/>
                <w:lang w:val="el-GR" w:eastAsia="el-GR"/>
              </w:rPr>
              <w:br/>
              <w:t xml:space="preserve">Να έχει απόδοση έως 100μg  RNA.  Το RNA να συλλέγεται σε όγκο διαλύματος 30 έως 100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μl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. Στο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κιτ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να περιλαμβάνονται οι στήλες απομόνωσης και τα σωληνάρια συλλογής του RNA, όλα τα απαραίτητα διαλύματα καθώς επίσης και τα ακόλουθα: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gDNA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Removal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Columns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διάλυμα σταθεροποίησης DNA/RNA Protection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Reagent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DNase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I για on-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column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digestion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Proteinase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K και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nuclease-free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water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. Συσκευασία των 50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preps</w:t>
            </w:r>
            <w:proofErr w:type="spellEnd"/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62948" w:rsidRPr="00DA75EC" w:rsidTr="00E336FF">
        <w:trPr>
          <w:trHeight w:val="3000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39</w:t>
            </w:r>
          </w:p>
        </w:tc>
        <w:tc>
          <w:tcPr>
            <w:tcW w:w="3069" w:type="pct"/>
            <w:shd w:val="clear" w:color="auto" w:fill="auto"/>
            <w:vAlign w:val="bottom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Έτοιμο προς χρήση μείγμα  (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Master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Mix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) PCR αντίδρασης 2X,  κατάλληλο για PCR  αντιδράσεις ρουτίνας. Να δύναται να ενισχύσει έως 4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kb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genomic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DNA.      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To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Master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Mix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να περιέχει  όλα τα απαραίτητα συστατικά για την εκτέλεση της  PCR (εκτός των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primers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) και επίσης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tracking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dyes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για την απευθείας φόρτωση  των PCR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products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σε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gel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. </w:t>
            </w:r>
            <w:r w:rsidRPr="00917E1B">
              <w:rPr>
                <w:color w:val="000000"/>
                <w:szCs w:val="22"/>
                <w:lang w:val="el-GR" w:eastAsia="el-GR"/>
              </w:rPr>
              <w:br/>
              <w:t xml:space="preserve">Σύσταση  1Χ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master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mix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:  210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mM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Tris-HCl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0.05%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Tween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® 20</w:t>
            </w:r>
            <w:r w:rsidRPr="00917E1B">
              <w:rPr>
                <w:color w:val="000000"/>
                <w:szCs w:val="22"/>
                <w:lang w:val="el-GR" w:eastAsia="el-GR"/>
              </w:rPr>
              <w:br/>
              <w:t xml:space="preserve">0.024%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Orange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G, 0.003%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Xylene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Cyanol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br/>
              <w:t xml:space="preserve">33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units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/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ml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Taq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DNA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Polymerase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br/>
              <w:t xml:space="preserve">50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mM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KCl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1.5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mM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MgCl2,</w:t>
            </w:r>
            <w:r w:rsidRPr="00917E1B">
              <w:rPr>
                <w:color w:val="000000"/>
                <w:szCs w:val="22"/>
                <w:lang w:val="el-GR" w:eastAsia="el-GR"/>
              </w:rPr>
              <w:br/>
              <w:t xml:space="preserve">0.2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mM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dATP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0.2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mM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dCTP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0.2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mM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dGTP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0.2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mM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dTTP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br/>
              <w:t xml:space="preserve">5%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Glycerol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0.08% IGEPAL® CA-630,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pH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8.6 @ 25°C</w:t>
            </w:r>
            <w:r w:rsidRPr="00917E1B">
              <w:rPr>
                <w:color w:val="000000"/>
                <w:szCs w:val="22"/>
                <w:lang w:val="el-GR" w:eastAsia="el-GR"/>
              </w:rPr>
              <w:br/>
              <w:t xml:space="preserve">Συσκευασία 10 x 1,25ml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master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mix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 για 500 αντιδράσεις  και επιπλέον 3 x  1,5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ml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- 25mM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Magnesium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Chloride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Solution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62948" w:rsidRPr="00917E1B" w:rsidTr="00E336FF">
        <w:trPr>
          <w:trHeight w:val="659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40</w:t>
            </w:r>
          </w:p>
        </w:tc>
        <w:tc>
          <w:tcPr>
            <w:tcW w:w="3069" w:type="pct"/>
            <w:shd w:val="clear" w:color="auto" w:fill="auto"/>
            <w:vAlign w:val="bottom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 xml:space="preserve">T7 RNA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πολυμεράση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ανασυνδυασμένη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συγκέντρωσης 50.000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units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/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ml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για την in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vitro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σύνθεση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mRNA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με υψηλό βαθμό εξειδίκευσης για </w:t>
            </w:r>
            <w:r w:rsidRPr="00917E1B">
              <w:rPr>
                <w:color w:val="000000"/>
                <w:szCs w:val="22"/>
                <w:lang w:val="el-GR" w:eastAsia="el-GR"/>
              </w:rPr>
              <w:lastRenderedPageBreak/>
              <w:t xml:space="preserve">τον T7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phage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promoter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. Βέλτιστη</w:t>
            </w:r>
            <w:r w:rsidRPr="00917E1B">
              <w:rPr>
                <w:color w:val="000000"/>
                <w:szCs w:val="22"/>
                <w:lang w:val="en-US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θερμοκρασία</w:t>
            </w:r>
            <w:r w:rsidRPr="00917E1B">
              <w:rPr>
                <w:color w:val="000000"/>
                <w:szCs w:val="22"/>
                <w:lang w:val="en-US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επώασης</w:t>
            </w:r>
            <w:r w:rsidRPr="00917E1B">
              <w:rPr>
                <w:color w:val="000000"/>
                <w:szCs w:val="22"/>
                <w:lang w:val="en-US" w:eastAsia="el-GR"/>
              </w:rPr>
              <w:t xml:space="preserve"> 37°C. </w:t>
            </w:r>
            <w:r w:rsidRPr="00917E1B">
              <w:rPr>
                <w:color w:val="000000"/>
                <w:szCs w:val="22"/>
                <w:lang w:val="en-US" w:eastAsia="el-GR"/>
              </w:rPr>
              <w:br/>
            </w:r>
            <w:r w:rsidRPr="00917E1B">
              <w:rPr>
                <w:color w:val="000000"/>
                <w:szCs w:val="22"/>
                <w:lang w:val="el-GR" w:eastAsia="el-GR"/>
              </w:rPr>
              <w:t>Κατάλληλη</w:t>
            </w:r>
            <w:r w:rsidRPr="00917E1B">
              <w:rPr>
                <w:color w:val="000000"/>
                <w:szCs w:val="22"/>
                <w:lang w:val="en-US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για</w:t>
            </w:r>
            <w:r w:rsidRPr="00917E1B">
              <w:rPr>
                <w:color w:val="000000"/>
                <w:szCs w:val="22"/>
                <w:lang w:val="en-US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τις</w:t>
            </w:r>
            <w:r w:rsidRPr="00917E1B">
              <w:rPr>
                <w:color w:val="000000"/>
                <w:szCs w:val="22"/>
                <w:lang w:val="en-US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εξής</w:t>
            </w:r>
            <w:r w:rsidRPr="00917E1B">
              <w:rPr>
                <w:color w:val="000000"/>
                <w:szCs w:val="22"/>
                <w:lang w:val="en-US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εφαρμογές</w:t>
            </w:r>
            <w:r w:rsidRPr="00917E1B">
              <w:rPr>
                <w:color w:val="000000"/>
                <w:szCs w:val="22"/>
                <w:lang w:val="en-US" w:eastAsia="el-GR"/>
              </w:rPr>
              <w:t xml:space="preserve">: </w:t>
            </w:r>
            <w:r w:rsidRPr="00917E1B">
              <w:rPr>
                <w:color w:val="000000"/>
                <w:szCs w:val="22"/>
                <w:lang w:val="en-US" w:eastAsia="el-GR"/>
              </w:rPr>
              <w:br/>
              <w:t xml:space="preserve">Radiolabeled RNA probe preparation, </w:t>
            </w:r>
            <w:r w:rsidRPr="00917E1B">
              <w:rPr>
                <w:color w:val="000000"/>
                <w:szCs w:val="22"/>
                <w:lang w:val="en-US" w:eastAsia="el-GR"/>
              </w:rPr>
              <w:br/>
              <w:t xml:space="preserve">RNA generation for studies of RNA structure, processing and catalysis, </w:t>
            </w:r>
            <w:r w:rsidRPr="00917E1B">
              <w:rPr>
                <w:color w:val="000000"/>
                <w:szCs w:val="22"/>
                <w:lang w:val="en-US" w:eastAsia="el-GR"/>
              </w:rPr>
              <w:br/>
              <w:t xml:space="preserve">Expression control via anti-sense RNA </w:t>
            </w:r>
            <w:r w:rsidRPr="00917E1B">
              <w:rPr>
                <w:color w:val="000000"/>
                <w:szCs w:val="22"/>
                <w:lang w:val="en-US" w:eastAsia="el-GR"/>
              </w:rPr>
              <w:br/>
              <w:t xml:space="preserve">mRNA, </w:t>
            </w:r>
            <w:proofErr w:type="spellStart"/>
            <w:r w:rsidRPr="00917E1B">
              <w:rPr>
                <w:color w:val="000000"/>
                <w:szCs w:val="22"/>
                <w:lang w:val="en-US" w:eastAsia="el-GR"/>
              </w:rPr>
              <w:t>sgRNA</w:t>
            </w:r>
            <w:proofErr w:type="spellEnd"/>
            <w:r w:rsidRPr="00917E1B">
              <w:rPr>
                <w:color w:val="000000"/>
                <w:szCs w:val="22"/>
                <w:lang w:val="en-US" w:eastAsia="el-GR"/>
              </w:rPr>
              <w:t xml:space="preserve"> synthesis. </w:t>
            </w:r>
            <w:r w:rsidRPr="00917E1B">
              <w:rPr>
                <w:color w:val="000000"/>
                <w:szCs w:val="22"/>
                <w:lang w:val="en-US" w:eastAsia="el-GR"/>
              </w:rPr>
              <w:br/>
            </w:r>
            <w:r w:rsidRPr="00917E1B">
              <w:rPr>
                <w:color w:val="000000"/>
                <w:szCs w:val="22"/>
                <w:lang w:val="el-GR" w:eastAsia="el-GR"/>
              </w:rPr>
              <w:t xml:space="preserve">Συσκευασία 25.000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units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. Μαζί να παρέχεται διάλυμα αντίδρασης συγκέντρωσης 10Χ. 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62948" w:rsidRPr="00917E1B" w:rsidTr="00E336FF">
        <w:trPr>
          <w:trHeight w:val="376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lastRenderedPageBreak/>
              <w:t>41</w:t>
            </w:r>
          </w:p>
        </w:tc>
        <w:tc>
          <w:tcPr>
            <w:tcW w:w="3069" w:type="pct"/>
            <w:shd w:val="clear" w:color="auto" w:fill="auto"/>
            <w:vAlign w:val="bottom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 xml:space="preserve">DNA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Polymerase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αυξημένης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θερμοανθεκτικότητας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 (χρόνος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ημιζωής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 6,7 ώρες στους 95°C) για μέγιστη δράση της κατά την εκτέλεση της PCR αντίδρασης.  Χωρίς δράση 3´→ 5´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εξωνουκλεάσης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αλλά με διπλάσιο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fidelity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από την απλή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Taq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DNA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Polymerase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. Κατάλληλη για χρήση σε GC-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rich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ή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looped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sequences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.</w:t>
            </w:r>
            <w:r w:rsidRPr="00917E1B">
              <w:rPr>
                <w:color w:val="000000"/>
                <w:szCs w:val="22"/>
                <w:lang w:val="el-GR" w:eastAsia="el-GR"/>
              </w:rPr>
              <w:br/>
              <w:t xml:space="preserve">Να παρέχεται με το απαραίτητο ρυθμιστικό διάλυμα αντίδρασης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ThermoPol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Reaction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Buffer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10Χ και 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Magnesium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Sulfate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(MgSO4)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Solution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100mM. </w:t>
            </w:r>
            <w:r w:rsidRPr="00917E1B">
              <w:rPr>
                <w:color w:val="000000"/>
                <w:szCs w:val="22"/>
                <w:lang w:val="el-GR" w:eastAsia="el-GR"/>
              </w:rPr>
              <w:br/>
              <w:t xml:space="preserve">Συγκέντρωσης 2.000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units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/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ml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.  Συσκευασία: 200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units</w:t>
            </w:r>
            <w:proofErr w:type="spellEnd"/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62948" w:rsidRPr="00917E1B" w:rsidTr="00E336FF">
        <w:trPr>
          <w:trHeight w:val="699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42</w:t>
            </w:r>
          </w:p>
        </w:tc>
        <w:tc>
          <w:tcPr>
            <w:tcW w:w="3069" w:type="pct"/>
            <w:shd w:val="clear" w:color="auto" w:fill="auto"/>
            <w:vAlign w:val="bottom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Έτοιμο προς χρήση μείγμα  (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Master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Mix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) PCR αντίδρασης 2X,  κατάλληλο για υψηλής απόδοσης ενίσχυση DNA περιοχών με υψηλό ποσοστό σε AT / GC καθώς  και για αντιδράσεις ρουτίνας.   Να χρησιμοποιεί  συνδυασμό δύο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πολυμερασών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(απλή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Taq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και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Deep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Vent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®) για ενισχυμένη απόδοση της PCR. Να είναι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hotstart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για ελαχιστοποίηση της μη-ειδικής ενίσχυσης  (πχ. χωρίς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primers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dimers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) και να μην απαιτείται ξεχωριστό βήμα ενεργοποίησης των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πολυμερασών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στην αντίδραση. Το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Master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Mix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να περιέχει  όλα τα απαραίτητα συστατικά για την εκτέλεση της  PCR (εκτός των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primers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) και επίσης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tracking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dyes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για την απευθείας φόρτωση  των PCR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products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σε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gel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. </w:t>
            </w:r>
            <w:r w:rsidRPr="00917E1B">
              <w:rPr>
                <w:color w:val="000000"/>
                <w:szCs w:val="22"/>
                <w:lang w:val="el-GR" w:eastAsia="el-GR"/>
              </w:rPr>
              <w:br/>
              <w:t>Σύσταση</w:t>
            </w:r>
            <w:r w:rsidRPr="00917E1B">
              <w:rPr>
                <w:color w:val="000000"/>
                <w:szCs w:val="22"/>
                <w:lang w:val="en-US" w:eastAsia="el-GR"/>
              </w:rPr>
              <w:t xml:space="preserve">  1</w:t>
            </w:r>
            <w:r w:rsidRPr="00917E1B">
              <w:rPr>
                <w:color w:val="000000"/>
                <w:szCs w:val="22"/>
                <w:lang w:val="el-GR" w:eastAsia="el-GR"/>
              </w:rPr>
              <w:t>Χ</w:t>
            </w:r>
            <w:r w:rsidRPr="00917E1B">
              <w:rPr>
                <w:color w:val="000000"/>
                <w:szCs w:val="22"/>
                <w:lang w:val="en-US" w:eastAsia="el-GR"/>
              </w:rPr>
              <w:t xml:space="preserve"> master mix:   20 </w:t>
            </w:r>
            <w:proofErr w:type="spellStart"/>
            <w:r w:rsidRPr="00917E1B">
              <w:rPr>
                <w:color w:val="000000"/>
                <w:szCs w:val="22"/>
                <w:lang w:val="en-US" w:eastAsia="el-GR"/>
              </w:rPr>
              <w:t>mM</w:t>
            </w:r>
            <w:proofErr w:type="spellEnd"/>
            <w:r w:rsidRPr="00917E1B">
              <w:rPr>
                <w:color w:val="000000"/>
                <w:szCs w:val="22"/>
                <w:lang w:val="en-US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n-US" w:eastAsia="el-GR"/>
              </w:rPr>
              <w:t>Tris-HCl</w:t>
            </w:r>
            <w:proofErr w:type="spellEnd"/>
            <w:r w:rsidRPr="00917E1B">
              <w:rPr>
                <w:color w:val="000000"/>
                <w:szCs w:val="22"/>
                <w:lang w:val="en-US" w:eastAsia="el-GR"/>
              </w:rPr>
              <w:t xml:space="preserve">, 1X </w:t>
            </w:r>
            <w:proofErr w:type="spellStart"/>
            <w:r w:rsidRPr="00917E1B">
              <w:rPr>
                <w:color w:val="000000"/>
                <w:szCs w:val="22"/>
                <w:lang w:val="en-US" w:eastAsia="el-GR"/>
              </w:rPr>
              <w:t>Tartrazine</w:t>
            </w:r>
            <w:proofErr w:type="spellEnd"/>
            <w:r w:rsidRPr="00917E1B">
              <w:rPr>
                <w:color w:val="000000"/>
                <w:szCs w:val="22"/>
                <w:lang w:val="en-US" w:eastAsia="el-GR"/>
              </w:rPr>
              <w:t xml:space="preserve">, </w:t>
            </w:r>
            <w:r w:rsidRPr="00917E1B">
              <w:rPr>
                <w:color w:val="000000"/>
                <w:szCs w:val="22"/>
                <w:lang w:val="en-US" w:eastAsia="el-GR"/>
              </w:rPr>
              <w:br/>
              <w:t xml:space="preserve">25 units/ml </w:t>
            </w:r>
            <w:proofErr w:type="spellStart"/>
            <w:r w:rsidRPr="00917E1B">
              <w:rPr>
                <w:color w:val="000000"/>
                <w:szCs w:val="22"/>
                <w:lang w:val="en-US" w:eastAsia="el-GR"/>
              </w:rPr>
              <w:t>OneTaq</w:t>
            </w:r>
            <w:proofErr w:type="spellEnd"/>
            <w:r w:rsidRPr="00917E1B">
              <w:rPr>
                <w:color w:val="000000"/>
                <w:szCs w:val="22"/>
                <w:lang w:val="en-US" w:eastAsia="el-GR"/>
              </w:rPr>
              <w:t xml:space="preserve"> Hot Start DNA Polymerase, 22 </w:t>
            </w:r>
            <w:proofErr w:type="spellStart"/>
            <w:r w:rsidRPr="00917E1B">
              <w:rPr>
                <w:color w:val="000000"/>
                <w:szCs w:val="22"/>
                <w:lang w:val="en-US" w:eastAsia="el-GR"/>
              </w:rPr>
              <w:t>mM</w:t>
            </w:r>
            <w:proofErr w:type="spellEnd"/>
            <w:r w:rsidRPr="00917E1B">
              <w:rPr>
                <w:color w:val="000000"/>
                <w:szCs w:val="22"/>
                <w:lang w:val="en-US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n-US" w:eastAsia="el-GR"/>
              </w:rPr>
              <w:t>KCl</w:t>
            </w:r>
            <w:proofErr w:type="spellEnd"/>
            <w:r w:rsidRPr="00917E1B">
              <w:rPr>
                <w:color w:val="000000"/>
                <w:szCs w:val="22"/>
                <w:lang w:val="en-US" w:eastAsia="el-GR"/>
              </w:rPr>
              <w:t xml:space="preserve">, 22 </w:t>
            </w:r>
            <w:proofErr w:type="spellStart"/>
            <w:r w:rsidRPr="00917E1B">
              <w:rPr>
                <w:color w:val="000000"/>
                <w:szCs w:val="22"/>
                <w:lang w:val="en-US" w:eastAsia="el-GR"/>
              </w:rPr>
              <w:t>mM</w:t>
            </w:r>
            <w:proofErr w:type="spellEnd"/>
            <w:r w:rsidRPr="00917E1B">
              <w:rPr>
                <w:color w:val="000000"/>
                <w:szCs w:val="22"/>
                <w:lang w:val="en-US" w:eastAsia="el-GR"/>
              </w:rPr>
              <w:t xml:space="preserve"> NH4Cl, </w:t>
            </w:r>
            <w:r w:rsidRPr="00917E1B">
              <w:rPr>
                <w:color w:val="000000"/>
                <w:szCs w:val="22"/>
                <w:lang w:val="en-US" w:eastAsia="el-GR"/>
              </w:rPr>
              <w:br/>
              <w:t xml:space="preserve">1.8 </w:t>
            </w:r>
            <w:proofErr w:type="spellStart"/>
            <w:r w:rsidRPr="00917E1B">
              <w:rPr>
                <w:color w:val="000000"/>
                <w:szCs w:val="22"/>
                <w:lang w:val="en-US" w:eastAsia="el-GR"/>
              </w:rPr>
              <w:t>mM</w:t>
            </w:r>
            <w:proofErr w:type="spellEnd"/>
            <w:r w:rsidRPr="00917E1B">
              <w:rPr>
                <w:color w:val="000000"/>
                <w:szCs w:val="22"/>
                <w:lang w:val="en-US" w:eastAsia="el-GR"/>
              </w:rPr>
              <w:t xml:space="preserve"> MgCl2, 5% Glycerol, 0.06% IGEPAL® CA-630,</w:t>
            </w:r>
            <w:r w:rsidRPr="00917E1B">
              <w:rPr>
                <w:color w:val="000000"/>
                <w:szCs w:val="22"/>
                <w:lang w:val="en-US" w:eastAsia="el-GR"/>
              </w:rPr>
              <w:br/>
              <w:t xml:space="preserve">0.05% Tween® 20, 0.2 </w:t>
            </w:r>
            <w:proofErr w:type="spellStart"/>
            <w:r w:rsidRPr="00917E1B">
              <w:rPr>
                <w:color w:val="000000"/>
                <w:szCs w:val="22"/>
                <w:lang w:val="en-US" w:eastAsia="el-GR"/>
              </w:rPr>
              <w:t>mM</w:t>
            </w:r>
            <w:proofErr w:type="spellEnd"/>
            <w:r w:rsidRPr="00917E1B">
              <w:rPr>
                <w:color w:val="000000"/>
                <w:szCs w:val="22"/>
                <w:lang w:val="en-US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n-US" w:eastAsia="el-GR"/>
              </w:rPr>
              <w:t>dNTPs</w:t>
            </w:r>
            <w:proofErr w:type="spellEnd"/>
            <w:r w:rsidRPr="00917E1B">
              <w:rPr>
                <w:color w:val="000000"/>
                <w:szCs w:val="22"/>
                <w:lang w:val="en-US" w:eastAsia="el-GR"/>
              </w:rPr>
              <w:t xml:space="preserve">, 1X Xylene </w:t>
            </w:r>
            <w:proofErr w:type="spellStart"/>
            <w:r w:rsidRPr="00917E1B">
              <w:rPr>
                <w:color w:val="000000"/>
                <w:szCs w:val="22"/>
                <w:lang w:val="en-US" w:eastAsia="el-GR"/>
              </w:rPr>
              <w:t>Cyanol</w:t>
            </w:r>
            <w:proofErr w:type="spellEnd"/>
            <w:r w:rsidRPr="00917E1B">
              <w:rPr>
                <w:color w:val="000000"/>
                <w:szCs w:val="22"/>
                <w:lang w:val="en-US" w:eastAsia="el-GR"/>
              </w:rPr>
              <w:t xml:space="preserve">, pH 8.9 @ 25°C.    </w:t>
            </w:r>
            <w:r w:rsidRPr="00917E1B">
              <w:rPr>
                <w:color w:val="000000"/>
                <w:szCs w:val="22"/>
                <w:lang w:val="en-US" w:eastAsia="el-GR"/>
              </w:rPr>
              <w:br/>
            </w:r>
            <w:r w:rsidRPr="00917E1B">
              <w:rPr>
                <w:color w:val="000000"/>
                <w:szCs w:val="22"/>
                <w:lang w:val="el-GR" w:eastAsia="el-GR"/>
              </w:rPr>
              <w:t>Συσκευασία για 500 αντιδράσεις των 50μL.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62948" w:rsidRPr="00917E1B" w:rsidTr="00E336FF">
        <w:trPr>
          <w:trHeight w:val="554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lastRenderedPageBreak/>
              <w:t>43</w:t>
            </w:r>
          </w:p>
        </w:tc>
        <w:tc>
          <w:tcPr>
            <w:tcW w:w="3069" w:type="pct"/>
            <w:shd w:val="clear" w:color="auto" w:fill="auto"/>
            <w:vAlign w:val="bottom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Ισομοριακό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μείγμα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υπερκάθαρων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δεοξυριβονουκλεοτιδίων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 (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dATP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dCTP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dGTP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and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dTTP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), σε συγκέντρωση 10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mM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έκαστο,  σε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υπερκάθαρο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νερό (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sodium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salt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-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pH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7.5).  Να είναι καθαρότητας ≥ 99%, με HPLC ανάλυση.</w:t>
            </w:r>
            <w:r w:rsidRPr="00917E1B">
              <w:rPr>
                <w:color w:val="000000"/>
                <w:szCs w:val="22"/>
                <w:lang w:val="el-GR" w:eastAsia="el-GR"/>
              </w:rPr>
              <w:br/>
              <w:t xml:space="preserve">Το μείγμα να διατηρείται σταθερό στους -20oC για πολλά έτη και οπωσδήποτε για ένα έτος εάν χρησιμοποιείται εντατικά  με συνεχή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ξεπαγώματα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.</w:t>
            </w:r>
            <w:r w:rsidRPr="00917E1B">
              <w:rPr>
                <w:color w:val="000000"/>
                <w:szCs w:val="22"/>
                <w:lang w:val="el-GR" w:eastAsia="el-GR"/>
              </w:rPr>
              <w:br/>
              <w:t>Συσκευασία 4 x 0.2ml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62948" w:rsidRPr="00917E1B" w:rsidTr="00E336FF">
        <w:trPr>
          <w:trHeight w:val="696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44</w:t>
            </w:r>
          </w:p>
        </w:tc>
        <w:tc>
          <w:tcPr>
            <w:tcW w:w="3069" w:type="pct"/>
            <w:shd w:val="clear" w:color="auto" w:fill="auto"/>
            <w:vAlign w:val="bottom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Ετοιμο</w:t>
            </w:r>
            <w:proofErr w:type="spellEnd"/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για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χρήση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, </w:t>
            </w:r>
            <w:r w:rsidRPr="00917E1B">
              <w:rPr>
                <w:color w:val="000000"/>
                <w:szCs w:val="22"/>
                <w:lang w:val="el-GR" w:eastAsia="el-GR"/>
              </w:rPr>
              <w:t>βελτιστοποιημένο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μείγμα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(</w:t>
            </w:r>
            <w:r w:rsidRPr="00917E1B">
              <w:rPr>
                <w:color w:val="000000"/>
                <w:szCs w:val="22"/>
                <w:lang w:val="en-US" w:eastAsia="el-GR"/>
              </w:rPr>
              <w:t>hot</w:t>
            </w:r>
            <w:r w:rsidRPr="00DA75EC">
              <w:rPr>
                <w:color w:val="000000"/>
                <w:szCs w:val="22"/>
                <w:lang w:val="el-GR" w:eastAsia="el-GR"/>
              </w:rPr>
              <w:t>-</w:t>
            </w:r>
            <w:r w:rsidRPr="00917E1B">
              <w:rPr>
                <w:color w:val="000000"/>
                <w:szCs w:val="22"/>
                <w:lang w:val="en-US" w:eastAsia="el-GR"/>
              </w:rPr>
              <w:t>start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master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mix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)  </w:t>
            </w:r>
            <w:r w:rsidRPr="00917E1B">
              <w:rPr>
                <w:color w:val="000000"/>
                <w:szCs w:val="22"/>
                <w:lang w:val="el-GR" w:eastAsia="el-GR"/>
              </w:rPr>
              <w:t>για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υψηλής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απόδοσης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real</w:t>
            </w:r>
            <w:r w:rsidRPr="00DA75EC">
              <w:rPr>
                <w:color w:val="000000"/>
                <w:szCs w:val="22"/>
                <w:lang w:val="el-GR" w:eastAsia="el-GR"/>
              </w:rPr>
              <w:t>_</w:t>
            </w:r>
            <w:r w:rsidRPr="00917E1B">
              <w:rPr>
                <w:color w:val="000000"/>
                <w:szCs w:val="22"/>
                <w:lang w:val="en-US" w:eastAsia="el-GR"/>
              </w:rPr>
              <w:t>time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PCR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αντιδράσεις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σε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DNA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ή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cDNA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templates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, </w:t>
            </w:r>
            <w:r w:rsidRPr="00917E1B">
              <w:rPr>
                <w:color w:val="000000"/>
                <w:szCs w:val="22"/>
                <w:lang w:val="el-GR" w:eastAsia="el-GR"/>
              </w:rPr>
              <w:t>με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την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l-GR" w:eastAsia="el-GR"/>
              </w:rPr>
              <w:t>προσθήκη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 </w:t>
            </w:r>
            <w:r w:rsidRPr="00917E1B">
              <w:rPr>
                <w:color w:val="000000"/>
                <w:szCs w:val="22"/>
                <w:lang w:val="en-US" w:eastAsia="el-GR"/>
              </w:rPr>
              <w:t>hydrolysis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17E1B">
              <w:rPr>
                <w:color w:val="000000"/>
                <w:szCs w:val="22"/>
                <w:lang w:val="en-US" w:eastAsia="el-GR"/>
              </w:rPr>
              <w:t>probes</w:t>
            </w:r>
            <w:r w:rsidRPr="00DA75EC">
              <w:rPr>
                <w:color w:val="000000"/>
                <w:szCs w:val="22"/>
                <w:lang w:val="el-GR" w:eastAsia="el-GR"/>
              </w:rPr>
              <w:t xml:space="preserve">. </w:t>
            </w:r>
            <w:r w:rsidRPr="00DA75EC">
              <w:rPr>
                <w:color w:val="000000"/>
                <w:szCs w:val="22"/>
                <w:lang w:val="el-GR" w:eastAsia="el-GR"/>
              </w:rPr>
              <w:br/>
            </w:r>
            <w:r w:rsidRPr="00917E1B">
              <w:rPr>
                <w:color w:val="000000"/>
                <w:szCs w:val="22"/>
                <w:lang w:val="el-GR" w:eastAsia="el-GR"/>
              </w:rPr>
              <w:t xml:space="preserve">Να περιέχει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Hotstart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Taq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DNA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Polymerase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dNTPs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και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dUTP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καθώς  και ειδικό παθητικό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φθοριόχρωμα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αναφοράς που επιτρέπει την συμβατότητα του μείγματος με πληθώρα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θερμοκυκλοποιητών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πραγματικού χρόνου ανεξαρτήτως του εάν απαιτούν υψηλό, χαμηλό ή καθόλου ROX. </w:t>
            </w:r>
            <w:r w:rsidRPr="00917E1B">
              <w:rPr>
                <w:color w:val="000000"/>
                <w:szCs w:val="22"/>
                <w:lang w:val="el-GR" w:eastAsia="el-GR"/>
              </w:rPr>
              <w:br/>
              <w:t xml:space="preserve">Η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Τaq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DNA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Polymerase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να είναι απενεργοποιημένη με τη χρήση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θερμοευαίσθητου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μικρομορίου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(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aptamer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), έτσι ώστε η προετοιμασία της αντίδρασης να γίνεται σε θερμοκρασία δωματίου. Επιπλέον η ενεργοποίηση της να επιτυγχάνεται  κατά την διάρκεια της αντίδρασης, χωρίς επώαση στους 95°C.</w:t>
            </w:r>
            <w:r w:rsidRPr="00917E1B">
              <w:rPr>
                <w:color w:val="000000"/>
                <w:szCs w:val="22"/>
                <w:lang w:val="el-GR" w:eastAsia="el-GR"/>
              </w:rPr>
              <w:br/>
              <w:t xml:space="preserve">Το μείγμα να είναι έγχρωμο ώστε να διευκολύνει το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πιπετάρισμα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και η χρωστική που περιέχει να μην παρεμβαίνει στην αντίδραση. </w:t>
            </w:r>
            <w:r w:rsidRPr="00917E1B">
              <w:rPr>
                <w:color w:val="000000"/>
                <w:szCs w:val="22"/>
                <w:lang w:val="el-GR" w:eastAsia="el-GR"/>
              </w:rPr>
              <w:br/>
              <w:t xml:space="preserve">Να παρέχεται σε συγκέντρωση 2Χ και να είναι κατάλληλο για συνθήκες αντίδρασης με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standard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ή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fast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cycling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πρωτόκολλα καθώς και για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multiplex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.</w:t>
            </w:r>
            <w:r w:rsidRPr="00917E1B">
              <w:rPr>
                <w:color w:val="000000"/>
                <w:szCs w:val="22"/>
                <w:lang w:val="el-GR" w:eastAsia="el-GR"/>
              </w:rPr>
              <w:br/>
              <w:t>Συσκευασία 10x1ml για 1.000 αντιδράσεις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62948" w:rsidRPr="00917E1B" w:rsidTr="00E336FF">
        <w:trPr>
          <w:trHeight w:val="900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45</w:t>
            </w:r>
          </w:p>
        </w:tc>
        <w:tc>
          <w:tcPr>
            <w:tcW w:w="3069" w:type="pct"/>
            <w:shd w:val="clear" w:color="auto" w:fill="auto"/>
            <w:vAlign w:val="bottom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 xml:space="preserve">Συνθετικά δίκλωνα DNA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fragments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μήκους 750-1000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bp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,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λυοφιλοποιημένα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. Να είναι εγγυημένης ποιότητας με έλεγχο της αλληλουχίας με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mass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spectrometry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και επιβεβαίωση του  μεγέθους του τελικού προϊόντος με 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με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capillary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electrophoresis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.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Nα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παρέχονται σε τελική ποσότητα 1000ng.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62948" w:rsidRPr="00DA75EC" w:rsidTr="00E336FF">
        <w:trPr>
          <w:trHeight w:val="900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46</w:t>
            </w:r>
          </w:p>
        </w:tc>
        <w:tc>
          <w:tcPr>
            <w:tcW w:w="3069" w:type="pct"/>
            <w:shd w:val="clear" w:color="auto" w:fill="auto"/>
            <w:vAlign w:val="bottom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 xml:space="preserve">Συνθετικά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ολιγονουκλεοτίδια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μήκους 10-90 βάσεων,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desalted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&amp;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deprotected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>, εγγυημένης ποιότητας - ελεγμένα με ESI-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mass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spectrometry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και  εγγυημένης απόδοσης - ελεγμένα με UV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spectrophotometry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.  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lastRenderedPageBreak/>
              <w:t>Λυοφιλοποιημένα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. Σε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λλίμακα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σύνθεσης 100nmol. Το κόστος σύνθεσης να δίνεται ανά βάση.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62948" w:rsidRPr="00B15729" w:rsidTr="00E336FF">
        <w:trPr>
          <w:trHeight w:val="521"/>
        </w:trPr>
        <w:tc>
          <w:tcPr>
            <w:tcW w:w="5000" w:type="pct"/>
            <w:gridSpan w:val="5"/>
          </w:tcPr>
          <w:p w:rsidR="00A62948" w:rsidRPr="00B15729" w:rsidRDefault="00A62948" w:rsidP="00E336FF">
            <w:pPr>
              <w:suppressAutoHyphens w:val="0"/>
              <w:spacing w:after="0"/>
              <w:jc w:val="left"/>
              <w:rPr>
                <w:rFonts w:cs="Times New Roman"/>
                <w:b/>
                <w:szCs w:val="22"/>
                <w:lang w:val="el-GR" w:eastAsia="el-GR"/>
              </w:rPr>
            </w:pPr>
            <w:r w:rsidRPr="00B15729">
              <w:rPr>
                <w:rFonts w:cs="Times New Roman"/>
                <w:b/>
                <w:szCs w:val="22"/>
                <w:lang w:val="el-GR" w:eastAsia="el-GR"/>
              </w:rPr>
              <w:lastRenderedPageBreak/>
              <w:t>ΜΕΜΟΝΩΜΕΝΑ ΠΡΟΪΟΝΤΑ</w:t>
            </w:r>
          </w:p>
        </w:tc>
      </w:tr>
      <w:tr w:rsidR="00A62948" w:rsidRPr="00917E1B" w:rsidTr="00A62948">
        <w:trPr>
          <w:trHeight w:val="874"/>
        </w:trPr>
        <w:tc>
          <w:tcPr>
            <w:tcW w:w="294" w:type="pct"/>
            <w:shd w:val="clear" w:color="auto" w:fill="F2F2F2" w:themeFill="background1" w:themeFillShade="F2"/>
            <w:noWrap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917E1B">
              <w:rPr>
                <w:b/>
                <w:bCs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3069" w:type="pct"/>
            <w:shd w:val="clear" w:color="auto" w:fill="F2F2F2" w:themeFill="background1" w:themeFillShade="F2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917E1B">
              <w:rPr>
                <w:b/>
                <w:bCs/>
                <w:szCs w:val="22"/>
                <w:lang w:val="el-GR" w:eastAsia="el-GR"/>
              </w:rPr>
              <w:t>Τεχνικά χαρακτηριστικά</w:t>
            </w:r>
          </w:p>
        </w:tc>
        <w:tc>
          <w:tcPr>
            <w:tcW w:w="431" w:type="pct"/>
            <w:shd w:val="clear" w:color="auto" w:fill="F2F2F2" w:themeFill="background1" w:themeFillShade="F2"/>
          </w:tcPr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433" w:type="pct"/>
            <w:shd w:val="clear" w:color="auto" w:fill="F2F2F2" w:themeFill="background1" w:themeFillShade="F2"/>
          </w:tcPr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ΟΧΙ</w:t>
            </w:r>
          </w:p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773" w:type="pct"/>
            <w:shd w:val="clear" w:color="auto" w:fill="F2F2F2" w:themeFill="background1" w:themeFillShade="F2"/>
          </w:tcPr>
          <w:p w:rsidR="00A62948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ΠΑΡΑΠΟΜΠΗ</w:t>
            </w:r>
          </w:p>
        </w:tc>
      </w:tr>
      <w:tr w:rsidR="00A62948" w:rsidRPr="00917E1B" w:rsidTr="00E336FF">
        <w:trPr>
          <w:trHeight w:val="900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47</w:t>
            </w:r>
          </w:p>
        </w:tc>
        <w:tc>
          <w:tcPr>
            <w:tcW w:w="3069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Ραδιοϊσότοπο Ιώδιο-125. Ειδική δραστικότητα: ~17Ci/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mg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. Χρήση για σήμανση πεπτιδίων και πρωτεϊνών μέσω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ραδιομετρικής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μεθόδου ανίχνευσης. 10^-5M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NaOH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(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pH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8-11). Ιωδιούχο νάτριο σε PH10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NaOH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~ 17Ci (629GBq) /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mg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.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Unit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size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: 5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mCi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. Χρόνος </w:t>
            </w:r>
            <w:proofErr w:type="spellStart"/>
            <w:r w:rsidRPr="00917E1B">
              <w:rPr>
                <w:color w:val="000000"/>
                <w:szCs w:val="22"/>
                <w:lang w:val="el-GR" w:eastAsia="el-GR"/>
              </w:rPr>
              <w:t>ημιζωής</w:t>
            </w:r>
            <w:proofErr w:type="spellEnd"/>
            <w:r w:rsidRPr="00917E1B">
              <w:rPr>
                <w:color w:val="000000"/>
                <w:szCs w:val="22"/>
                <w:lang w:val="el-GR" w:eastAsia="el-GR"/>
              </w:rPr>
              <w:t xml:space="preserve">: 60.14 ημέρες. 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bookmarkStart w:id="0" w:name="_GoBack"/>
            <w:bookmarkEnd w:id="0"/>
          </w:p>
        </w:tc>
      </w:tr>
      <w:tr w:rsidR="00A62948" w:rsidRPr="00917E1B" w:rsidTr="00E336FF">
        <w:trPr>
          <w:trHeight w:val="600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48</w:t>
            </w:r>
          </w:p>
        </w:tc>
        <w:tc>
          <w:tcPr>
            <w:tcW w:w="3069" w:type="pct"/>
            <w:shd w:val="clear" w:color="auto" w:fill="auto"/>
            <w:vAlign w:val="bottom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17E1B">
              <w:rPr>
                <w:rFonts w:cs="Times New Roman"/>
                <w:color w:val="000000"/>
                <w:szCs w:val="22"/>
                <w:lang w:val="el-GR" w:eastAsia="el-GR"/>
              </w:rPr>
              <w:t xml:space="preserve">Πλαστικά σωληνάρια συνδεδεμένα </w:t>
            </w:r>
            <w:proofErr w:type="spellStart"/>
            <w:r w:rsidRPr="00917E1B">
              <w:rPr>
                <w:rFonts w:cs="Times New Roman"/>
                <w:color w:val="000000"/>
                <w:szCs w:val="22"/>
                <w:lang w:val="el-GR" w:eastAsia="el-GR"/>
              </w:rPr>
              <w:t>ανα</w:t>
            </w:r>
            <w:proofErr w:type="spellEnd"/>
            <w:r w:rsidRPr="00917E1B">
              <w:rPr>
                <w:rFonts w:cs="Times New Roman"/>
                <w:color w:val="000000"/>
                <w:szCs w:val="22"/>
                <w:lang w:val="el-GR" w:eastAsia="el-GR"/>
              </w:rPr>
              <w:t xml:space="preserve"> 8 με στρογγυλεμένο πυθμένα όγκου 1,2ml. Χωρίς καπάκι. Ο κατασκευαστής να έχει πιστοποίηση ISO 9001,14001, </w:t>
            </w:r>
            <w:proofErr w:type="spellStart"/>
            <w:r w:rsidRPr="00917E1B">
              <w:rPr>
                <w:rFonts w:cs="Times New Roman"/>
                <w:color w:val="000000"/>
                <w:szCs w:val="22"/>
                <w:lang w:val="el-GR" w:eastAsia="el-GR"/>
              </w:rPr>
              <w:t>Dakks</w:t>
            </w:r>
            <w:proofErr w:type="spellEnd"/>
            <w:r w:rsidRPr="00917E1B">
              <w:rPr>
                <w:rFonts w:cs="Times New Roman"/>
                <w:color w:val="000000"/>
                <w:szCs w:val="22"/>
                <w:lang w:val="el-GR" w:eastAsia="el-GR"/>
              </w:rPr>
              <w:t xml:space="preserve"> και "πράσινο" πιστοποιητικό </w:t>
            </w:r>
            <w:proofErr w:type="spellStart"/>
            <w:r w:rsidRPr="00917E1B">
              <w:rPr>
                <w:rFonts w:cs="Times New Roman"/>
                <w:color w:val="000000"/>
                <w:szCs w:val="22"/>
                <w:lang w:val="el-GR" w:eastAsia="el-GR"/>
              </w:rPr>
              <w:t>responsible</w:t>
            </w:r>
            <w:proofErr w:type="spellEnd"/>
            <w:r w:rsidRPr="00917E1B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rFonts w:cs="Times New Roman"/>
                <w:color w:val="000000"/>
                <w:szCs w:val="22"/>
                <w:lang w:val="el-GR" w:eastAsia="el-GR"/>
              </w:rPr>
              <w:t>manufacturing</w:t>
            </w:r>
            <w:proofErr w:type="spellEnd"/>
            <w:r w:rsidRPr="00917E1B">
              <w:rPr>
                <w:rFonts w:cs="Times New Roman"/>
                <w:color w:val="000000"/>
                <w:szCs w:val="22"/>
                <w:lang w:val="el-GR" w:eastAsia="el-GR"/>
              </w:rPr>
              <w:t xml:space="preserve"> . Συσκευασμένα </w:t>
            </w:r>
            <w:proofErr w:type="spellStart"/>
            <w:r w:rsidRPr="00917E1B">
              <w:rPr>
                <w:rFonts w:cs="Times New Roman"/>
                <w:color w:val="000000"/>
                <w:szCs w:val="22"/>
                <w:lang w:val="el-GR" w:eastAsia="el-GR"/>
              </w:rPr>
              <w:t>ανα</w:t>
            </w:r>
            <w:proofErr w:type="spellEnd"/>
            <w:r w:rsidRPr="00917E1B">
              <w:rPr>
                <w:rFonts w:cs="Times New Roman"/>
                <w:color w:val="000000"/>
                <w:szCs w:val="22"/>
                <w:lang w:val="el-GR" w:eastAsia="el-GR"/>
              </w:rPr>
              <w:t xml:space="preserve"> 120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A62948" w:rsidRPr="00DA75EC" w:rsidTr="00E336FF">
        <w:trPr>
          <w:trHeight w:val="600"/>
        </w:trPr>
        <w:tc>
          <w:tcPr>
            <w:tcW w:w="294" w:type="pct"/>
            <w:shd w:val="clear" w:color="auto" w:fill="auto"/>
            <w:vAlign w:val="center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17E1B">
              <w:rPr>
                <w:color w:val="000000"/>
                <w:szCs w:val="22"/>
                <w:lang w:val="el-GR" w:eastAsia="el-GR"/>
              </w:rPr>
              <w:t>49</w:t>
            </w:r>
          </w:p>
        </w:tc>
        <w:tc>
          <w:tcPr>
            <w:tcW w:w="3069" w:type="pct"/>
            <w:shd w:val="clear" w:color="auto" w:fill="auto"/>
            <w:vAlign w:val="bottom"/>
            <w:hideMark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17E1B">
              <w:rPr>
                <w:rFonts w:cs="Times New Roman"/>
                <w:color w:val="000000"/>
                <w:szCs w:val="22"/>
                <w:lang w:val="el-GR" w:eastAsia="el-GR"/>
              </w:rPr>
              <w:t xml:space="preserve">Πλαστικά καπάκια από </w:t>
            </w:r>
            <w:proofErr w:type="spellStart"/>
            <w:r w:rsidRPr="00917E1B">
              <w:rPr>
                <w:rFonts w:cs="Times New Roman"/>
                <w:color w:val="000000"/>
                <w:szCs w:val="22"/>
                <w:lang w:val="el-GR" w:eastAsia="el-GR"/>
              </w:rPr>
              <w:t>πολυεθυλένιο</w:t>
            </w:r>
            <w:proofErr w:type="spellEnd"/>
            <w:r w:rsidRPr="00917E1B">
              <w:rPr>
                <w:rFonts w:cs="Times New Roman"/>
                <w:color w:val="000000"/>
                <w:szCs w:val="22"/>
                <w:lang w:val="el-GR" w:eastAsia="el-GR"/>
              </w:rPr>
              <w:t xml:space="preserve"> συνδεδεμένα </w:t>
            </w:r>
            <w:proofErr w:type="spellStart"/>
            <w:r w:rsidRPr="00917E1B">
              <w:rPr>
                <w:rFonts w:cs="Times New Roman"/>
                <w:color w:val="000000"/>
                <w:szCs w:val="22"/>
                <w:lang w:val="el-GR" w:eastAsia="el-GR"/>
              </w:rPr>
              <w:t>ανα</w:t>
            </w:r>
            <w:proofErr w:type="spellEnd"/>
            <w:r w:rsidRPr="00917E1B">
              <w:rPr>
                <w:rFonts w:cs="Times New Roman"/>
                <w:color w:val="000000"/>
                <w:szCs w:val="22"/>
                <w:lang w:val="el-GR" w:eastAsia="el-GR"/>
              </w:rPr>
              <w:t xml:space="preserve"> 8 για χρήση με τα ανωτέρω σωληνάρια όγκου 1,2ml  Ο κατασκευαστής να έχει πιστοποίηση ISO 9001,14001, και "πράσινο" πιστοποιητικό </w:t>
            </w:r>
            <w:proofErr w:type="spellStart"/>
            <w:r w:rsidRPr="00917E1B">
              <w:rPr>
                <w:rFonts w:cs="Times New Roman"/>
                <w:color w:val="000000"/>
                <w:szCs w:val="22"/>
                <w:lang w:val="el-GR" w:eastAsia="el-GR"/>
              </w:rPr>
              <w:t>responsible</w:t>
            </w:r>
            <w:proofErr w:type="spellEnd"/>
            <w:r w:rsidRPr="00917E1B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917E1B">
              <w:rPr>
                <w:rFonts w:cs="Times New Roman"/>
                <w:color w:val="000000"/>
                <w:szCs w:val="22"/>
                <w:lang w:val="el-GR" w:eastAsia="el-GR"/>
              </w:rPr>
              <w:t>manufacturing</w:t>
            </w:r>
            <w:proofErr w:type="spellEnd"/>
            <w:r w:rsidRPr="00917E1B">
              <w:rPr>
                <w:rFonts w:cs="Times New Roman"/>
                <w:color w:val="000000"/>
                <w:szCs w:val="22"/>
                <w:lang w:val="el-GR" w:eastAsia="el-GR"/>
              </w:rPr>
              <w:t xml:space="preserve"> . Συσκευασμένα </w:t>
            </w:r>
            <w:proofErr w:type="spellStart"/>
            <w:r w:rsidRPr="00917E1B">
              <w:rPr>
                <w:rFonts w:cs="Times New Roman"/>
                <w:color w:val="000000"/>
                <w:szCs w:val="22"/>
                <w:lang w:val="el-GR" w:eastAsia="el-GR"/>
              </w:rPr>
              <w:t>ανα</w:t>
            </w:r>
            <w:proofErr w:type="spellEnd"/>
            <w:r w:rsidRPr="00917E1B">
              <w:rPr>
                <w:rFonts w:cs="Times New Roman"/>
                <w:color w:val="000000"/>
                <w:szCs w:val="22"/>
                <w:lang w:val="el-GR" w:eastAsia="el-GR"/>
              </w:rPr>
              <w:t xml:space="preserve"> 120</w:t>
            </w:r>
          </w:p>
        </w:tc>
        <w:tc>
          <w:tcPr>
            <w:tcW w:w="431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43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773" w:type="pct"/>
          </w:tcPr>
          <w:p w:rsidR="00A62948" w:rsidRPr="00917E1B" w:rsidRDefault="00A62948" w:rsidP="00E336F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</w:tbl>
    <w:p w:rsidR="00A62948" w:rsidRDefault="00A62948"/>
    <w:sectPr w:rsidR="00A62948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948" w:rsidRDefault="00A62948" w:rsidP="00A62948">
      <w:pPr>
        <w:spacing w:after="0"/>
      </w:pPr>
      <w:r>
        <w:separator/>
      </w:r>
    </w:p>
  </w:endnote>
  <w:endnote w:type="continuationSeparator" w:id="0">
    <w:p w:rsidR="00A62948" w:rsidRDefault="00A62948" w:rsidP="00A629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948" w:rsidRDefault="00A62948" w:rsidP="00A62948">
      <w:pPr>
        <w:spacing w:after="0"/>
      </w:pPr>
      <w:r>
        <w:separator/>
      </w:r>
    </w:p>
  </w:footnote>
  <w:footnote w:type="continuationSeparator" w:id="0">
    <w:p w:rsidR="00A62948" w:rsidRDefault="00A62948" w:rsidP="00A629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948" w:rsidRDefault="00A62948">
    <w:pPr>
      <w:pStyle w:val="a3"/>
    </w:pPr>
  </w:p>
  <w:p w:rsidR="00A62948" w:rsidRDefault="00A62948">
    <w:pPr>
      <w:pStyle w:val="a3"/>
    </w:pPr>
    <w:r>
      <w:rPr>
        <w:noProof/>
        <w:lang w:val="el-GR" w:eastAsia="el-GR"/>
      </w:rPr>
      <w:drawing>
        <wp:inline distT="0" distB="0" distL="0" distR="0" wp14:anchorId="4B668B4C">
          <wp:extent cx="476250" cy="447675"/>
          <wp:effectExtent l="0" t="0" r="0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62948" w:rsidRPr="00A62948" w:rsidRDefault="00A62948" w:rsidP="00A62948">
    <w:pPr>
      <w:pStyle w:val="a3"/>
      <w:rPr>
        <w:lang w:val="el-GR"/>
      </w:rPr>
    </w:pPr>
    <w:r w:rsidRPr="00A62948">
      <w:rPr>
        <w:b/>
        <w:lang w:val="el-GR"/>
      </w:rPr>
      <w:t>ΕΛΛΗΝΙΚΗ ΔΗΜΟΚΡΑΤΙΑ</w:t>
    </w:r>
  </w:p>
  <w:p w:rsidR="00A62948" w:rsidRPr="00A62948" w:rsidRDefault="00A62948" w:rsidP="00A62948">
    <w:pPr>
      <w:pStyle w:val="a3"/>
      <w:rPr>
        <w:b/>
        <w:lang w:val="el-GR"/>
      </w:rPr>
    </w:pPr>
    <w:r w:rsidRPr="00A62948">
      <w:rPr>
        <w:b/>
        <w:lang w:val="el-GR"/>
      </w:rPr>
      <w:t xml:space="preserve"> ΥΠΟΥΡΓΕΙΟ ΑΝΑΠΤΥΞΗΣ ΚΑΙ ΕΠΕΝΔΥΣΕΩΝ</w:t>
    </w:r>
  </w:p>
  <w:p w:rsidR="00A62948" w:rsidRPr="00A62948" w:rsidRDefault="00A62948" w:rsidP="00A62948">
    <w:pPr>
      <w:pStyle w:val="a3"/>
      <w:rPr>
        <w:b/>
        <w:lang w:val="el-GR"/>
      </w:rPr>
    </w:pPr>
    <w:r w:rsidRPr="00A62948">
      <w:rPr>
        <w:b/>
        <w:lang w:val="el-GR"/>
      </w:rPr>
      <w:t xml:space="preserve"> ΓΕΝΙΚΗ ΓΡΑΜΜΑΤΕΙΑ ΕΡΕΥΝΑΣ &amp; ΚΑΙΝΟΤΟΜΙΑΣ</w:t>
    </w:r>
  </w:p>
  <w:p w:rsidR="00A62948" w:rsidRDefault="00A62948" w:rsidP="00A62948">
    <w:pPr>
      <w:pStyle w:val="a3"/>
    </w:pPr>
    <w:r w:rsidRPr="00A62948">
      <w:rPr>
        <w:lang w:val="el-GR"/>
      </w:rPr>
      <w:drawing>
        <wp:inline distT="0" distB="0" distL="0" distR="0">
          <wp:extent cx="2472690" cy="381635"/>
          <wp:effectExtent l="0" t="0" r="381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69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2948" w:rsidRDefault="00A629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48"/>
    <w:rsid w:val="0060617F"/>
    <w:rsid w:val="00A6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46FD81"/>
  <w15:chartTrackingRefBased/>
  <w15:docId w15:val="{EE609EDB-49AB-4F65-A1F0-AF8F68D2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4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948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A62948"/>
    <w:rPr>
      <w:rFonts w:ascii="Calibri" w:eastAsia="Times New Roman" w:hAnsi="Calibri" w:cs="Calibri"/>
      <w:szCs w:val="24"/>
      <w:lang w:val="en-GB" w:eastAsia="ar-SA"/>
    </w:rPr>
  </w:style>
  <w:style w:type="paragraph" w:styleId="a4">
    <w:name w:val="footer"/>
    <w:basedOn w:val="a"/>
    <w:link w:val="Char0"/>
    <w:uiPriority w:val="99"/>
    <w:unhideWhenUsed/>
    <w:rsid w:val="00A62948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A62948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3462</Words>
  <Characters>18701</Characters>
  <Application>Microsoft Office Word</Application>
  <DocSecurity>0</DocSecurity>
  <Lines>155</Lines>
  <Paragraphs>44</Paragraphs>
  <ScaleCrop>false</ScaleCrop>
  <Company/>
  <LinksUpToDate>false</LinksUpToDate>
  <CharactersWithSpaces>22119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Παπαιωάννου</dc:creator>
  <cp:keywords/>
  <dc:description/>
  <cp:lastModifiedBy>Βασιλική Παπαιωάννου</cp:lastModifiedBy>
  <cp:revision>1</cp:revision>
  <dcterms:created xsi:type="dcterms:W3CDTF">2022-06-21T10:33:00Z</dcterms:created>
  <dcterms:modified xsi:type="dcterms:W3CDTF">2022-06-21T10:40:00Z</dcterms:modified>
</cp:coreProperties>
</file>