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4B" w:rsidRPr="00412C4B" w:rsidRDefault="00412C4B" w:rsidP="00412C4B">
      <w:pPr>
        <w:pStyle w:val="2"/>
        <w:tabs>
          <w:tab w:val="clear" w:pos="567"/>
          <w:tab w:val="left" w:pos="0"/>
        </w:tabs>
        <w:spacing w:before="0" w:after="120"/>
        <w:ind w:left="0" w:firstLine="0"/>
        <w:rPr>
          <w:rFonts w:asciiTheme="minorHAnsi" w:hAnsiTheme="minorHAnsi"/>
          <w:szCs w:val="24"/>
          <w:lang w:val="el-GR"/>
        </w:rPr>
      </w:pPr>
      <w:r w:rsidRPr="00412C4B">
        <w:rPr>
          <w:rFonts w:asciiTheme="minorHAnsi" w:hAnsiTheme="minorHAnsi"/>
          <w:lang w:val="el-GR"/>
        </w:rPr>
        <w:t xml:space="preserve">ΦΥΛΛΟ </w:t>
      </w:r>
      <w:r w:rsidRPr="00412C4B">
        <w:rPr>
          <w:rFonts w:asciiTheme="minorHAnsi" w:hAnsiTheme="minorHAnsi"/>
          <w:szCs w:val="24"/>
          <w:lang w:val="el-GR"/>
        </w:rPr>
        <w:t>ΣΥΜΜΟΡΦΩΣΗΣ</w:t>
      </w:r>
    </w:p>
    <w:p w:rsidR="006142E3" w:rsidRPr="00412C4B" w:rsidRDefault="006142E3">
      <w:pPr>
        <w:rPr>
          <w:lang w:val="el-GR"/>
        </w:rPr>
      </w:pPr>
      <w:bookmarkStart w:id="0" w:name="_GoBack"/>
      <w:bookmarkEnd w:id="0"/>
    </w:p>
    <w:p w:rsidR="00412C4B" w:rsidRDefault="00412C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675"/>
        <w:gridCol w:w="773"/>
        <w:gridCol w:w="774"/>
        <w:gridCol w:w="1496"/>
      </w:tblGrid>
      <w:tr w:rsidR="00412C4B" w:rsidRPr="00E33FE2" w:rsidTr="0079402B">
        <w:trPr>
          <w:trHeight w:val="199"/>
        </w:trPr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412C4B" w:rsidRPr="00E33FE2" w:rsidRDefault="00412C4B" w:rsidP="0079402B">
            <w:pPr>
              <w:suppressAutoHyphens w:val="0"/>
              <w:spacing w:after="0"/>
              <w:jc w:val="center"/>
              <w:rPr>
                <w:rFonts w:cs="Arial"/>
                <w:b/>
                <w:bCs/>
                <w:szCs w:val="22"/>
                <w:lang w:val="el-GR" w:eastAsia="el-GR"/>
              </w:rPr>
            </w:pPr>
            <w:r w:rsidRPr="00E33FE2">
              <w:rPr>
                <w:rFonts w:cs="Arial"/>
                <w:b/>
                <w:bCs/>
                <w:szCs w:val="22"/>
                <w:lang w:val="el-GR" w:eastAsia="el-GR"/>
              </w:rPr>
              <w:t>A</w:t>
            </w:r>
            <w:r>
              <w:rPr>
                <w:rFonts w:cs="Arial"/>
                <w:b/>
                <w:bCs/>
                <w:szCs w:val="22"/>
                <w:lang w:val="el-GR" w:eastAsia="el-GR"/>
              </w:rPr>
              <w:t>/</w:t>
            </w:r>
            <w:r w:rsidRPr="00E33FE2">
              <w:rPr>
                <w:rFonts w:cs="Arial"/>
                <w:b/>
                <w:bCs/>
                <w:szCs w:val="22"/>
                <w:lang w:val="el-GR" w:eastAsia="el-GR"/>
              </w:rPr>
              <w:t>A</w:t>
            </w:r>
          </w:p>
        </w:tc>
        <w:tc>
          <w:tcPr>
            <w:tcW w:w="2855" w:type="pct"/>
            <w:shd w:val="clear" w:color="3D85C6" w:fill="FFFFFF"/>
            <w:vAlign w:val="center"/>
            <w:hideMark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b/>
                <w:bCs/>
                <w:szCs w:val="22"/>
                <w:lang w:val="el-GR" w:eastAsia="el-GR"/>
              </w:rPr>
            </w:pPr>
            <w:r w:rsidRPr="00E33FE2">
              <w:rPr>
                <w:rFonts w:cs="Arial"/>
                <w:b/>
                <w:bCs/>
                <w:szCs w:val="22"/>
                <w:lang w:val="el-GR" w:eastAsia="el-GR"/>
              </w:rPr>
              <w:t>Τεχνικά Χαρακτηριστικά</w:t>
            </w:r>
          </w:p>
        </w:tc>
        <w:tc>
          <w:tcPr>
            <w:tcW w:w="503" w:type="pct"/>
            <w:shd w:val="clear" w:color="3D85C6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b/>
                <w:bCs/>
                <w:szCs w:val="22"/>
                <w:lang w:val="el-GR" w:eastAsia="el-GR"/>
              </w:rPr>
            </w:pPr>
            <w:r>
              <w:rPr>
                <w:rFonts w:cs="Arial"/>
                <w:b/>
                <w:bCs/>
                <w:szCs w:val="22"/>
                <w:lang w:val="el-GR" w:eastAsia="el-GR"/>
              </w:rPr>
              <w:t xml:space="preserve">   ΝΑΙ</w:t>
            </w:r>
          </w:p>
        </w:tc>
        <w:tc>
          <w:tcPr>
            <w:tcW w:w="504" w:type="pct"/>
            <w:shd w:val="clear" w:color="3D85C6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b/>
                <w:bCs/>
                <w:szCs w:val="22"/>
                <w:lang w:val="el-GR" w:eastAsia="el-GR"/>
              </w:rPr>
            </w:pPr>
            <w:r>
              <w:rPr>
                <w:rFonts w:cs="Arial"/>
                <w:b/>
                <w:bCs/>
                <w:szCs w:val="22"/>
                <w:lang w:val="el-GR" w:eastAsia="el-GR"/>
              </w:rPr>
              <w:t xml:space="preserve">    ΟΧΙ</w:t>
            </w:r>
          </w:p>
        </w:tc>
        <w:tc>
          <w:tcPr>
            <w:tcW w:w="845" w:type="pct"/>
            <w:shd w:val="clear" w:color="3D85C6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b/>
                <w:bCs/>
                <w:szCs w:val="22"/>
                <w:lang w:val="el-GR" w:eastAsia="el-GR"/>
              </w:rPr>
            </w:pPr>
            <w:r>
              <w:rPr>
                <w:rFonts w:cs="Arial"/>
                <w:b/>
                <w:bCs/>
                <w:szCs w:val="22"/>
                <w:lang w:val="el-GR" w:eastAsia="el-GR"/>
              </w:rPr>
              <w:t>ΠΑΡΑΠΟΜΠΗ</w:t>
            </w:r>
          </w:p>
        </w:tc>
      </w:tr>
      <w:tr w:rsidR="00412C4B" w:rsidRPr="00E33FE2" w:rsidTr="0079402B">
        <w:trPr>
          <w:trHeight w:val="855"/>
        </w:trPr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412C4B" w:rsidRPr="00E33FE2" w:rsidRDefault="00412C4B" w:rsidP="0079402B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E33FE2">
              <w:rPr>
                <w:rFonts w:cs="Arial"/>
                <w:szCs w:val="22"/>
                <w:lang w:val="el-GR" w:eastAsia="el-GR"/>
              </w:rPr>
              <w:t>1</w:t>
            </w:r>
          </w:p>
        </w:tc>
        <w:tc>
          <w:tcPr>
            <w:tcW w:w="2855" w:type="pct"/>
            <w:shd w:val="clear" w:color="EAF1DD" w:fill="FFFFFF"/>
            <w:hideMark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  <w:r w:rsidRPr="00E33FE2">
              <w:rPr>
                <w:rFonts w:cs="Arial"/>
                <w:szCs w:val="22"/>
                <w:lang w:val="el-GR" w:eastAsia="el-GR"/>
              </w:rPr>
              <w:t xml:space="preserve">Ποιοτική και ποσοτική ανάλυση DNA, υψηλής ευαισθησίας για χρήση σε συνδυασμό με το σύστημα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Bioanalyzer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2100. Το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κιτ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περιλαμβάνει: 10 τσιπ, 1 καθαριστικό ηλεκτροδίων, 1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κιτ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σύριγγας (1 σύριγγα και 2 φίλτρα περιστροφής), 1 δείκτη μοριακού βάρους "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ladder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" DNA υψηλής ευαισθησίας, 4 δείκτες DNA υψηλής ευαισθησίας 35/10380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bp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, 1 χρωστική DNA υψηλής ευαισθησίας, 2 φιαλίδια "πήκτωμα " DNA υψηλής ευαισθησίας. Τα αντιδραστήρια επαρκούν για 110 δείγματα. Απαιτούμενος χρόνος ανάλυσης &lt;45 λεπτά / τσιπ. Όγκος δείγματος: 1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μl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. Εύρος ανίχνευσης μεγεθών: 50-7000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bp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. Εύρος ποσοτικοποίησης: 5-500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pg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/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μl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>.</w:t>
            </w:r>
          </w:p>
        </w:tc>
        <w:tc>
          <w:tcPr>
            <w:tcW w:w="503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504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845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</w:tr>
      <w:tr w:rsidR="00412C4B" w:rsidRPr="00E33FE2" w:rsidTr="0079402B">
        <w:trPr>
          <w:trHeight w:val="317"/>
        </w:trPr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412C4B" w:rsidRPr="00E33FE2" w:rsidRDefault="00412C4B" w:rsidP="0079402B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E33FE2">
              <w:rPr>
                <w:rFonts w:cs="Arial"/>
                <w:szCs w:val="22"/>
                <w:lang w:val="el-GR" w:eastAsia="el-GR"/>
              </w:rPr>
              <w:t>2</w:t>
            </w:r>
          </w:p>
        </w:tc>
        <w:tc>
          <w:tcPr>
            <w:tcW w:w="2855" w:type="pct"/>
            <w:shd w:val="clear" w:color="EAF1DD" w:fill="FFFFFF"/>
            <w:hideMark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  <w:r w:rsidRPr="00E33FE2">
              <w:rPr>
                <w:rFonts w:cs="Arial"/>
                <w:szCs w:val="22"/>
                <w:lang w:val="el-GR" w:eastAsia="el-GR"/>
              </w:rPr>
              <w:t xml:space="preserve">Πλήρες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κιτ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για την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κλωνική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ενίσχυση και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αλληλούχηση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βιβλιοθήκης σε γενετικό αναλυτή νέας γενιάς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ΝextSeq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500/550, του οίκου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Illumina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.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To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κιτ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να μπορεί να υποστηρίξει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αλληλούχηση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σε τμήματα DNA 75bp.Να είναι ικανό να αποδώσει έως και 400 εκατομμύρια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reads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ανά εκτέλεση (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run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>).</w:t>
            </w:r>
          </w:p>
        </w:tc>
        <w:tc>
          <w:tcPr>
            <w:tcW w:w="503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504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845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</w:tr>
      <w:tr w:rsidR="00412C4B" w:rsidRPr="00E33FE2" w:rsidTr="0079402B">
        <w:trPr>
          <w:trHeight w:val="855"/>
        </w:trPr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412C4B" w:rsidRPr="00E33FE2" w:rsidRDefault="00412C4B" w:rsidP="0079402B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  <w:r w:rsidRPr="00E33FE2">
              <w:rPr>
                <w:rFonts w:cs="Arial"/>
                <w:szCs w:val="22"/>
                <w:lang w:val="el-GR" w:eastAsia="el-GR"/>
              </w:rPr>
              <w:t>3</w:t>
            </w:r>
          </w:p>
        </w:tc>
        <w:tc>
          <w:tcPr>
            <w:tcW w:w="2855" w:type="pct"/>
            <w:shd w:val="clear" w:color="EAF1DD" w:fill="FFFFFF"/>
            <w:hideMark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Κιτ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προετοιμασίας βιβλιοθηκών ανάλυσης 3’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mRNA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μεταγραφώματος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. Να επιτρέπει τη δημιουργία βιβλιοθηκών 3’mRNA γονιδιακής έκφρασης σε 4.5 ώρες. Να επιτρέπει τη δημιουργία βιβλιοθηκών γονιδιακής έκφρασης συμβατές με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αλληλούχιση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σε πλατφόρμα ILLUMINA κατά την εμπρός διεύθυνση (FWD). Να διατηρεί την πληροφορία του κλάδου από τον οποίο προήρθε το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μετάγραφο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(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strand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specificity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). Να περιλαμβάνει ιχνηθέτες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τυπου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i7. Να περιλαμβάνει μαγνητικά σφαιρίδια για τον καθαρισμό των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βιλβιοθηκών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. Να είναι συμβατό με χαμηλή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ποσοτητηα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αρχικού RNA ως και 1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ng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καθώς και μονιμοποιημένα δείγματα FFPE. Να είναι συμβατό με αντιδραστήρια του ιδίου οίκου για απομάκρυνση των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μεταγράφων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</w:t>
            </w:r>
            <w:proofErr w:type="spellStart"/>
            <w:r w:rsidRPr="00E33FE2">
              <w:rPr>
                <w:rFonts w:cs="Arial"/>
                <w:szCs w:val="22"/>
                <w:lang w:val="el-GR" w:eastAsia="el-GR"/>
              </w:rPr>
              <w:t>σφαιρινών</w:t>
            </w:r>
            <w:proofErr w:type="spellEnd"/>
            <w:r w:rsidRPr="00E33FE2">
              <w:rPr>
                <w:rFonts w:cs="Arial"/>
                <w:szCs w:val="22"/>
                <w:lang w:val="el-GR" w:eastAsia="el-GR"/>
              </w:rPr>
              <w:t xml:space="preserve"> σε δείγματα αίματος.</w:t>
            </w:r>
          </w:p>
        </w:tc>
        <w:tc>
          <w:tcPr>
            <w:tcW w:w="503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504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845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</w:tr>
      <w:tr w:rsidR="00412C4B" w:rsidRPr="00E33FE2" w:rsidTr="0079402B">
        <w:trPr>
          <w:trHeight w:val="855"/>
        </w:trPr>
        <w:tc>
          <w:tcPr>
            <w:tcW w:w="293" w:type="pct"/>
            <w:shd w:val="clear" w:color="000000" w:fill="FFFFFF"/>
            <w:noWrap/>
            <w:vAlign w:val="center"/>
          </w:tcPr>
          <w:p w:rsidR="00412C4B" w:rsidRPr="00E33FE2" w:rsidRDefault="00412C4B" w:rsidP="0079402B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2855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  <w:r w:rsidRPr="00E33FE2">
              <w:rPr>
                <w:rFonts w:cs="Arial"/>
                <w:szCs w:val="22"/>
                <w:lang w:val="el-GR" w:eastAsia="el-GR"/>
              </w:rPr>
              <w:t>Με την τεχνική προσφορά οι υποψήφιοι ανάδοχοι απαιτείται να προσκομίζουν Αποδεικτικά ή</w:t>
            </w:r>
          </w:p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  <w:r w:rsidRPr="00E33FE2">
              <w:rPr>
                <w:rFonts w:cs="Arial"/>
                <w:szCs w:val="22"/>
                <w:lang w:val="el-GR" w:eastAsia="el-GR"/>
              </w:rPr>
              <w:t>Υπεύθυνη Δήλωση όπου θα δηλώνεται ότι είναι επίσημοι (εξουσιοδοτημένοι) αντιπρόσωποι της Κατασκευάστριας Εταιρείας</w:t>
            </w:r>
          </w:p>
        </w:tc>
        <w:tc>
          <w:tcPr>
            <w:tcW w:w="503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504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845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</w:tr>
      <w:tr w:rsidR="00412C4B" w:rsidRPr="00E33FE2" w:rsidTr="0079402B">
        <w:trPr>
          <w:trHeight w:val="855"/>
        </w:trPr>
        <w:tc>
          <w:tcPr>
            <w:tcW w:w="293" w:type="pct"/>
            <w:shd w:val="clear" w:color="000000" w:fill="FFFFFF"/>
            <w:noWrap/>
            <w:vAlign w:val="center"/>
          </w:tcPr>
          <w:p w:rsidR="00412C4B" w:rsidRPr="00E33FE2" w:rsidRDefault="00412C4B" w:rsidP="0079402B">
            <w:pPr>
              <w:suppressAutoHyphens w:val="0"/>
              <w:spacing w:after="0"/>
              <w:jc w:val="center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2855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  <w:r w:rsidRPr="00E33FE2">
              <w:rPr>
                <w:rFonts w:cs="Arial"/>
                <w:szCs w:val="22"/>
                <w:lang w:val="el-GR" w:eastAsia="el-GR"/>
              </w:rPr>
              <w:t>Κατά την παράδοση των προϊόντων η χρονική διάρκεια μέχρι την αναγραφόμενη ημερομηνία λήξης να είναι κατά περίπτωση η μέγιστη δυνατή, σύμφωνα με την Κατασκευάστρια Εταιρεία.</w:t>
            </w:r>
          </w:p>
        </w:tc>
        <w:tc>
          <w:tcPr>
            <w:tcW w:w="503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504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  <w:tc>
          <w:tcPr>
            <w:tcW w:w="845" w:type="pct"/>
            <w:shd w:val="clear" w:color="EAF1DD" w:fill="FFFFFF"/>
          </w:tcPr>
          <w:p w:rsidR="00412C4B" w:rsidRPr="00E33FE2" w:rsidRDefault="00412C4B" w:rsidP="0079402B">
            <w:pPr>
              <w:suppressAutoHyphens w:val="0"/>
              <w:spacing w:after="0"/>
              <w:rPr>
                <w:rFonts w:cs="Arial"/>
                <w:szCs w:val="22"/>
                <w:lang w:val="el-GR" w:eastAsia="el-GR"/>
              </w:rPr>
            </w:pPr>
          </w:p>
        </w:tc>
      </w:tr>
    </w:tbl>
    <w:p w:rsidR="00412C4B" w:rsidRPr="00412C4B" w:rsidRDefault="00412C4B" w:rsidP="00412C4B">
      <w:pPr>
        <w:rPr>
          <w:lang w:val="el-GR"/>
        </w:rPr>
      </w:pPr>
    </w:p>
    <w:sectPr w:rsidR="00412C4B" w:rsidRPr="00412C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4B"/>
    <w:rsid w:val="00412C4B"/>
    <w:rsid w:val="0061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C947"/>
  <w15:chartTrackingRefBased/>
  <w15:docId w15:val="{481F6004-6BA8-4F6E-898D-3297A9D7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4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412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412C4B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12C4B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412C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Αλέκα Χουσάκου</dc:creator>
  <cp:keywords/>
  <dc:description/>
  <cp:lastModifiedBy>Αλέκα Χουσάκου</cp:lastModifiedBy>
  <cp:revision>1</cp:revision>
  <dcterms:created xsi:type="dcterms:W3CDTF">2022-06-24T10:40:00Z</dcterms:created>
  <dcterms:modified xsi:type="dcterms:W3CDTF">2022-06-24T10:41:00Z</dcterms:modified>
</cp:coreProperties>
</file>