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E3" w:rsidRDefault="000756A1" w:rsidP="000756A1">
      <w:pPr>
        <w:tabs>
          <w:tab w:val="left" w:pos="7305"/>
        </w:tabs>
      </w:pPr>
      <w:r>
        <w:tab/>
      </w:r>
      <w:bookmarkStart w:id="0" w:name="_GoBack"/>
      <w:bookmarkEnd w:id="0"/>
    </w:p>
    <w:p w:rsidR="000756A1" w:rsidRPr="000756A1" w:rsidRDefault="000756A1" w:rsidP="000756A1">
      <w:pPr>
        <w:keepNext/>
        <w:spacing w:before="240" w:after="60" w:line="240" w:lineRule="auto"/>
        <w:ind w:right="49"/>
        <w:jc w:val="both"/>
        <w:outlineLvl w:val="2"/>
        <w:rPr>
          <w:rFonts w:ascii="Calibri" w:eastAsia="Times New Roman" w:hAnsi="Calibri" w:cs="Times New Roman"/>
          <w:b/>
          <w:bCs/>
          <w:lang w:eastAsia="el-GR"/>
        </w:rPr>
      </w:pPr>
      <w:r>
        <w:rPr>
          <w:rFonts w:ascii="Calibri" w:eastAsia="Times New Roman" w:hAnsi="Calibri" w:cs="Times New Roman"/>
          <w:b/>
          <w:bCs/>
          <w:lang w:eastAsia="el-GR"/>
        </w:rPr>
        <w:t xml:space="preserve">     </w:t>
      </w:r>
      <w:r w:rsidRPr="000756A1">
        <w:rPr>
          <w:rFonts w:ascii="Calibri" w:eastAsia="Times New Roman" w:hAnsi="Calibri" w:cs="Times New Roman"/>
          <w:b/>
          <w:bCs/>
          <w:lang w:eastAsia="el-GR"/>
        </w:rPr>
        <w:t>ΠΑΡΑΡΤΗΜΑ ΙΙ ΦΥΛΛΟ ΣΥΜΜΟΡΦΩΣΗΣ</w:t>
      </w:r>
    </w:p>
    <w:p w:rsidR="000756A1" w:rsidRDefault="000756A1"/>
    <w:p w:rsidR="000756A1" w:rsidRDefault="000756A1"/>
    <w:tbl>
      <w:tblPr>
        <w:tblW w:w="510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482"/>
        <w:gridCol w:w="596"/>
        <w:gridCol w:w="596"/>
        <w:gridCol w:w="1311"/>
      </w:tblGrid>
      <w:tr w:rsidR="000756A1" w:rsidRPr="000756A1" w:rsidTr="0079402B">
        <w:trPr>
          <w:trHeight w:val="600"/>
        </w:trPr>
        <w:tc>
          <w:tcPr>
            <w:tcW w:w="287" w:type="pct"/>
            <w:shd w:val="clear" w:color="000000" w:fill="DAEEF3"/>
            <w:vAlign w:val="center"/>
            <w:hideMark/>
          </w:tcPr>
          <w:p w:rsidR="000756A1" w:rsidRPr="000756A1" w:rsidRDefault="000756A1" w:rsidP="000756A1">
            <w:pPr>
              <w:spacing w:after="0" w:line="240" w:lineRule="auto"/>
              <w:jc w:val="center"/>
              <w:rPr>
                <w:rFonts w:ascii="Calibri" w:eastAsia="Times New Roman" w:hAnsi="Calibri" w:cs="Times New Roman"/>
                <w:b/>
                <w:bCs/>
                <w:color w:val="000000"/>
                <w:lang w:eastAsia="el-GR"/>
              </w:rPr>
            </w:pPr>
            <w:r w:rsidRPr="000756A1">
              <w:rPr>
                <w:rFonts w:ascii="Calibri" w:eastAsia="Times New Roman" w:hAnsi="Calibri" w:cs="Times New Roman"/>
                <w:b/>
                <w:bCs/>
                <w:color w:val="000000"/>
                <w:lang w:eastAsia="el-GR"/>
              </w:rPr>
              <w:t>Α/Α</w:t>
            </w:r>
          </w:p>
        </w:tc>
        <w:tc>
          <w:tcPr>
            <w:tcW w:w="3235" w:type="pct"/>
            <w:shd w:val="clear" w:color="000000" w:fill="DAEEF3"/>
            <w:vAlign w:val="center"/>
            <w:hideMark/>
          </w:tcPr>
          <w:p w:rsidR="000756A1" w:rsidRPr="000756A1" w:rsidRDefault="000756A1" w:rsidP="000756A1">
            <w:pPr>
              <w:spacing w:after="0" w:line="240" w:lineRule="auto"/>
              <w:jc w:val="center"/>
              <w:rPr>
                <w:rFonts w:ascii="Calibri" w:eastAsia="Times New Roman" w:hAnsi="Calibri" w:cs="Times New Roman"/>
                <w:b/>
                <w:bCs/>
                <w:color w:val="000000"/>
                <w:lang w:eastAsia="el-GR"/>
              </w:rPr>
            </w:pPr>
            <w:r w:rsidRPr="000756A1">
              <w:rPr>
                <w:rFonts w:ascii="Calibri" w:eastAsia="Times New Roman" w:hAnsi="Calibri" w:cs="Times New Roman"/>
                <w:b/>
                <w:bCs/>
                <w:color w:val="000000"/>
                <w:lang w:eastAsia="el-GR"/>
              </w:rPr>
              <w:t>ΠΡΟΔΙΑΓΡΑΦΕΣ</w:t>
            </w:r>
          </w:p>
        </w:tc>
        <w:tc>
          <w:tcPr>
            <w:tcW w:w="352" w:type="pct"/>
            <w:shd w:val="clear" w:color="000000" w:fill="DAEEF3"/>
          </w:tcPr>
          <w:p w:rsidR="000756A1" w:rsidRPr="000756A1" w:rsidRDefault="000756A1" w:rsidP="000756A1">
            <w:pPr>
              <w:spacing w:after="0" w:line="240" w:lineRule="auto"/>
              <w:jc w:val="center"/>
              <w:rPr>
                <w:rFonts w:ascii="Calibri" w:eastAsia="Times New Roman" w:hAnsi="Calibri" w:cs="Times New Roman"/>
                <w:b/>
                <w:bCs/>
                <w:color w:val="000000"/>
                <w:lang w:eastAsia="el-GR"/>
              </w:rPr>
            </w:pPr>
            <w:r w:rsidRPr="000756A1">
              <w:rPr>
                <w:rFonts w:ascii="Calibri" w:eastAsia="Times New Roman" w:hAnsi="Calibri" w:cs="Times New Roman"/>
                <w:b/>
                <w:bCs/>
                <w:color w:val="000000"/>
                <w:lang w:eastAsia="el-GR"/>
              </w:rPr>
              <w:t>ΝΑΙ</w:t>
            </w:r>
          </w:p>
        </w:tc>
        <w:tc>
          <w:tcPr>
            <w:tcW w:w="352" w:type="pct"/>
            <w:shd w:val="clear" w:color="000000" w:fill="DAEEF3"/>
          </w:tcPr>
          <w:p w:rsidR="000756A1" w:rsidRPr="000756A1" w:rsidRDefault="000756A1" w:rsidP="000756A1">
            <w:pPr>
              <w:spacing w:after="0" w:line="240" w:lineRule="auto"/>
              <w:jc w:val="center"/>
              <w:rPr>
                <w:rFonts w:ascii="Calibri" w:eastAsia="Times New Roman" w:hAnsi="Calibri" w:cs="Times New Roman"/>
                <w:b/>
                <w:bCs/>
                <w:color w:val="000000"/>
                <w:lang w:eastAsia="el-GR"/>
              </w:rPr>
            </w:pPr>
            <w:r w:rsidRPr="000756A1">
              <w:rPr>
                <w:rFonts w:ascii="Calibri" w:eastAsia="Times New Roman" w:hAnsi="Calibri" w:cs="Times New Roman"/>
                <w:b/>
                <w:bCs/>
                <w:color w:val="000000"/>
                <w:lang w:eastAsia="el-GR"/>
              </w:rPr>
              <w:t>ΟΧΙ</w:t>
            </w:r>
          </w:p>
        </w:tc>
        <w:tc>
          <w:tcPr>
            <w:tcW w:w="774" w:type="pct"/>
            <w:shd w:val="clear" w:color="000000" w:fill="DAEEF3"/>
          </w:tcPr>
          <w:p w:rsidR="000756A1" w:rsidRPr="000756A1" w:rsidRDefault="000756A1" w:rsidP="000756A1">
            <w:pPr>
              <w:spacing w:after="0" w:line="240" w:lineRule="auto"/>
              <w:jc w:val="center"/>
              <w:rPr>
                <w:rFonts w:ascii="Calibri" w:eastAsia="Times New Roman" w:hAnsi="Calibri" w:cs="Times New Roman"/>
                <w:b/>
                <w:bCs/>
                <w:color w:val="000000"/>
                <w:lang w:eastAsia="el-GR"/>
              </w:rPr>
            </w:pPr>
            <w:r w:rsidRPr="000756A1">
              <w:rPr>
                <w:rFonts w:ascii="Calibri" w:eastAsia="Times New Roman" w:hAnsi="Calibri" w:cs="Times New Roman"/>
                <w:b/>
                <w:bCs/>
                <w:color w:val="000000"/>
                <w:lang w:eastAsia="el-GR"/>
              </w:rPr>
              <w:t>ΠΑΡΑΠΟΜΠΗ</w:t>
            </w:r>
          </w:p>
        </w:tc>
      </w:tr>
      <w:tr w:rsidR="000756A1" w:rsidRPr="000756A1" w:rsidTr="0079402B">
        <w:trPr>
          <w:trHeight w:val="240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 xml:space="preserve">GC άγαρ βάσης (GC agar base): εμπλουτισμένο άγαρ κατάλληλο για την παρασκευή στερεού θρεπτικού μέσου καλλιέργειας των παθογόνων ειδών Neisseria με προσθήκη καταλλήλων συμπληρωμάτων  (Vitox and V.C.N.). Συστατικά (σε gr/L): άγαρ-άγαρ 10, ειδική πεπτόνη (μίγμα εκχυλισμάτων ζωϊκής και φυτικής προέλευσης), άμυλο αραβοσίτου 1, χλωριούχο νάτριο 5, μονοϋδρικό φωσφορικό κάλιο (K2HPO4) 4, διϋδρικό φωσφορικό κάλιο (KH2PO4) 1, pH 7,2± 0,2 (25oC). Παρεχόμενο σε συσκευασία των 500gr. </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339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Α2</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Το Vitox είναι ένα αποστειρωμένο εκλεκτικό συμπλήρωμα αυξητικών παραγόντων που χρησιμοποιείται στον εμπλουτισμό διαφόρων θρεπτικών υλικών, όπως στην ετοιμασίαμ του Thayer Martin Medium. Κάθε λυοφιλιοποιημένο φιαλίδιο διαλύεται με το παρεχόμενο διάλυμα 10ml 10% γλυκόζης και περιέχει: Vitamin B12 0.1mg, L-glutamine 100.0mg, Adenine 10.0mg, Guanine 0.3mg, p-Aminobenzoic acid 0.13mg, L-cystine 11.0mg, NAD (Coenzyme 1, factor V) 2.5mg, Cocarboxylase 1.0mg, Ferric nitrate 0.2mg, Thiamine 0.03mg και Cysteine hydrochloride 259.0mg. Κάθε kit αποδίδει 100 ml συμπληρώματος άρα 2'500ml έτοιμου υλικού (≈147 τρυβλία 90mm /εξετάσεις). Φέρει σήμανση IVD CE Mark. Συκευασία 2x5 φιαλίδια.</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75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Α3</w:t>
            </w:r>
          </w:p>
        </w:tc>
        <w:tc>
          <w:tcPr>
            <w:tcW w:w="3235" w:type="pct"/>
            <w:shd w:val="clear" w:color="auto" w:fill="auto"/>
            <w:vAlign w:val="bottom"/>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Σύστημα ταυτοποίησης 12 βιοχημικώ ιδιοτήτων,απαιτητικών μικροβίων εντός 4 ωρών, με ευδιάκριτη ανάγνωση και έντονο χρωματισμό των ενζυματικών αντιδράσεων. Δυνατότητα ταυτοποίησης πάνω από 30 διαφορετικών στελεχών των ειδών:Neisseria sp. ,Moraxella sp. ,Heamophilus sp. και άλλων σχετικών μικροοργανισμών. Υπάρχει η δυνατότητα αποτελέσματος εντός 1 ώρας σε δείγματα ουρεγεννετικού για την ταυτοποίηση γονόκκοκου. Για την πραγματοποίηση της εξέτασης χρειάζονται τα αντιδραστήρια: RapID Inoculation Fluid-1mL, 20test (010-R8325102), RapID Spot Indole Reagent, 15ml (010-R8309002), RapID Nitrate A Reagent, 15ml (010-R8309003), RapID Nitrate Β Reagent, 15ml (010-R8309004) και εναιώρημα ίσο με McFarland No 3,0. Φέρει σήμανση CE Mark.</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219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lastRenderedPageBreak/>
              <w:t>Α4</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Ζωμός εναιωρήματος 1ml για χρήση με τα συστήματα ταυτοποίησης: RapID ANA II panel (010-R8311002), RapID NF Plus panel (010 8311005), RapID NH panel (010- R8311001), RapID SS/u panel (010-R8311004) και RapID STR panel (010-R8311003). Φέρει σήμανση CE Mark.</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06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Α5</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Azithromycin (AZ) σε φάσμα συγκεντρώσεων 0,016-256mg/L, για ποσοτικό προσδιορισμό της ευαισθησίας βακτηρίων στο αντιβιοτικό αζιθρομυκίνη,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100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405"/>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Α6</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Cefixime (ΙΧ) σε φάσμα συγκεντρώσεων 0,002-32mg/L, για ποσοτικό προσδιορισμό της ευαισθησίας βακτηρίων στο αντιβιοτικό κεφιξίμη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297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Α7</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 xml:space="preserve">Πλαστικοποιημένες ταινίες διαβαθμισμένης συγκέντρωσης Erythromycin (ΕΜ) σε φάσμα συγκεντρώσεων 0,016-256mg/L, για ποσοτικό προσδιορισμό της ευαισθησίας βακτηρίων στο αντιβιοτικό ερυθρομυκίνη,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w:t>
            </w:r>
            <w:r w:rsidRPr="000756A1">
              <w:rPr>
                <w:rFonts w:ascii="Calibri" w:eastAsia="Times New Roman" w:hAnsi="Calibri" w:cs="Times New Roman"/>
                <w:lang w:eastAsia="el-GR"/>
              </w:rPr>
              <w:lastRenderedPageBreak/>
              <w:t>στην επιφάνεια του θρεπτικού μέσου. Προσφερόμενες σε συσκευασία των 100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45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Α8</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Ceftriaxone (TXL) σε χαμηλό φάσμα συγκεντρώσεων (Low-range: 0.002-32mg/L), για ποσοτικό προσδιορισμό της ευαισθησίας βακτηρίων στo αντιβιοτικό Κεφτριαξόνη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735"/>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Α9</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Benzylpenicillin (PGL) σε χαμηλό φάσμα συγκεντρώσεων (Low-range: 0.002-32mg/L), για ποσοτικό προσδιορισμό της ευαισθησίας βακτηρίων στο αντιβιοοτικό πενικιλλίνη G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100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4422"/>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lastRenderedPageBreak/>
              <w:t>Α10</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συγκέντρωσηςSpectinomycin (SC) σε φάσμα συγκεντρώσεων 0,064-1024mg/L, για ποσοτικό προσδιορισμό της ευαισθησίας βακτηρίων στo αντιβιοτικό Σπεκτινομυκίνη,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353"/>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Α11</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Tetracycline (TC) σε φάσμα συγκεντρώσεων 0,016-256mg/L, για ποσοτικό προσδιορισμό της ευαισθησίας βακτηρίων στo αντιβιοτικό Τετρακυκλίνη,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100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27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Α12</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Ciprofloxacin (CI) σε φάσμα συγκεντρώσεων 0.002-32mg/L, για ποσοτικό προσδιορισμό της ευαισθησίας βακτηρίων στo αντιβιοτικό Σιπροφλοξακίνη,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315"/>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lastRenderedPageBreak/>
              <w:t>Α13</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Gentamicin(GM) σε φάσμα συγκεντρώσεων 0,016-256mg/L, για ποσοτικό προσδιορισμό της ευαισθησίας βακτηρίων στo αντιβιοτικό Γενταμυκίνη ,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72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Α14</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lang w:eastAsia="el-GR"/>
              </w:rPr>
            </w:pPr>
            <w:r w:rsidRPr="000756A1">
              <w:rPr>
                <w:rFonts w:ascii="Calibri" w:eastAsia="Times New Roman" w:hAnsi="Calibri" w:cs="Times New Roman"/>
                <w:lang w:eastAsia="el-GR"/>
              </w:rPr>
              <w:t>Πλαστικοποιημένες ταινίες διαβαθμισμένης συγκέντρωσης Piperacillin/Tazobactam σε φάσμα συγκεντρώσεων 0,016-256mg/L, για ποσοτικό προσδιορισμό της ευαισθησίας βακτηρίων στo αντιβιοτικό Πιπερακιλλινης/Ταζοβακταμης , σε τιμές Ελάχιστης Ανασταλτικής Συγκέντρωσης (MIC). Οι ταινίες πρέπει να περιλαμβάνουν 29 (15 διαδοχικά υποδιπλάσιες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352" w:type="pct"/>
          </w:tcPr>
          <w:p w:rsidR="000756A1" w:rsidRPr="000756A1" w:rsidRDefault="000756A1" w:rsidP="000756A1">
            <w:pPr>
              <w:spacing w:after="0" w:line="240" w:lineRule="auto"/>
              <w:rPr>
                <w:rFonts w:ascii="Calibri" w:eastAsia="Times New Roman" w:hAnsi="Calibri" w:cs="Times New Roman"/>
                <w:lang w:eastAsia="el-GR"/>
              </w:rPr>
            </w:pPr>
          </w:p>
        </w:tc>
        <w:tc>
          <w:tcPr>
            <w:tcW w:w="774" w:type="pct"/>
          </w:tcPr>
          <w:p w:rsidR="000756A1" w:rsidRPr="000756A1" w:rsidRDefault="000756A1" w:rsidP="000756A1">
            <w:pPr>
              <w:spacing w:after="0" w:line="240" w:lineRule="auto"/>
              <w:rPr>
                <w:rFonts w:ascii="Calibri" w:eastAsia="Times New Roman" w:hAnsi="Calibri" w:cs="Times New Roman"/>
                <w:lang w:eastAsia="el-GR"/>
              </w:rPr>
            </w:pPr>
          </w:p>
        </w:tc>
      </w:tr>
      <w:tr w:rsidR="000756A1" w:rsidRPr="000756A1" w:rsidTr="0079402B">
        <w:trPr>
          <w:trHeight w:val="3315"/>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Α15</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sz w:val="20"/>
                <w:szCs w:val="20"/>
                <w:lang w:eastAsia="el-GR"/>
              </w:rPr>
            </w:pPr>
            <w:r w:rsidRPr="000756A1">
              <w:rPr>
                <w:rFonts w:ascii="Calibri" w:eastAsia="Times New Roman" w:hAnsi="Calibri" w:cs="Times New Roman"/>
                <w:sz w:val="20"/>
                <w:szCs w:val="20"/>
                <w:lang w:eastAsia="el-GR"/>
              </w:rPr>
              <w:t xml:space="preserve">Τρυβλία καλλιέργειας από πολυστυρένιο,  κατάλληλα για την εφαρμογή ελέγχου ευαισθησίας βακτηρίων στα αντιβιοτικά με χρήση ταινιών διαβαθμισμένης συγκέντρωσης.Τρυβλία κυτταροκαλλιέργειας 140 mm από πρότυπο πολυστυρένιο υψηλής διαύγειας , διαστάσεων 140 X 17,5 mm, χωρίς οπές αερισμού, με ειδικό σχεδιασμο 12 °για εύκολη στοίβαξη 10 γεμισμένων τρυβλίων. αποστειρωμένα με γάμμα ακτινοβιλία σύμφωνα με το ISO 11137 SAL 10-6. </w:t>
            </w:r>
            <w:r w:rsidRPr="000756A1">
              <w:rPr>
                <w:rFonts w:ascii="Calibri" w:eastAsia="Times New Roman" w:hAnsi="Calibri" w:cs="Times New Roman"/>
                <w:sz w:val="20"/>
                <w:szCs w:val="20"/>
                <w:lang w:val="en-US" w:eastAsia="el-GR"/>
              </w:rPr>
              <w:t>N</w:t>
            </w:r>
            <w:r w:rsidRPr="000756A1">
              <w:rPr>
                <w:rFonts w:ascii="Calibri" w:eastAsia="Times New Roman" w:hAnsi="Calibri" w:cs="Times New Roman"/>
                <w:sz w:val="20"/>
                <w:szCs w:val="20"/>
                <w:lang w:eastAsia="el-GR"/>
              </w:rPr>
              <w:t>α</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είναι</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ελεύθερα</w:t>
            </w:r>
            <w:r w:rsidRPr="000756A1">
              <w:rPr>
                <w:rFonts w:ascii="Calibri" w:eastAsia="Times New Roman" w:hAnsi="Calibri" w:cs="Times New Roman"/>
                <w:sz w:val="20"/>
                <w:szCs w:val="20"/>
                <w:lang w:val="en-US" w:eastAsia="el-GR"/>
              </w:rPr>
              <w:t xml:space="preserve"> Dnase/Rnase/Human DNA , ATP &amp; Pyrogens. CE &amp; IVD certified, ISO 24998. </w:t>
            </w:r>
            <w:r w:rsidRPr="000756A1">
              <w:rPr>
                <w:rFonts w:ascii="Calibri" w:eastAsia="Times New Roman" w:hAnsi="Calibri" w:cs="Times New Roman"/>
                <w:sz w:val="20"/>
                <w:szCs w:val="20"/>
                <w:lang w:eastAsia="el-GR"/>
              </w:rPr>
              <w:t xml:space="preserve">Nα είναι σύμφωνα με την οδηγία EC 1907/2006, με την Eur. Ph., να έχουν περάσει USP class IV tests, να διαθέτουν ISO 10993 (non cytoxic). Να είναι ελέυθερα βαρέων  μετάλλων &amp; RoHS σύμφωνα με την οδηγία EU 1935/2004/CE, 2002/95/EC, UE 10/2011 &amp; EU CONEG.  Η πρώτη ύλη να είναι ελέυθερη BSE/TSE. Να κατασκευάζονται σε Clean room ISO class 8. Σε εσωτερική συσκευασία 5 τρυβλίων ανά συσκευασία.  </w:t>
            </w:r>
          </w:p>
        </w:tc>
        <w:tc>
          <w:tcPr>
            <w:tcW w:w="352" w:type="pct"/>
          </w:tcPr>
          <w:p w:rsidR="000756A1" w:rsidRPr="000756A1" w:rsidRDefault="000756A1" w:rsidP="000756A1">
            <w:pPr>
              <w:spacing w:after="0" w:line="240" w:lineRule="auto"/>
              <w:rPr>
                <w:rFonts w:ascii="Calibri" w:eastAsia="Times New Roman" w:hAnsi="Calibri" w:cs="Times New Roman"/>
                <w:sz w:val="20"/>
                <w:szCs w:val="20"/>
                <w:lang w:eastAsia="el-GR"/>
              </w:rPr>
            </w:pPr>
          </w:p>
        </w:tc>
        <w:tc>
          <w:tcPr>
            <w:tcW w:w="352" w:type="pct"/>
          </w:tcPr>
          <w:p w:rsidR="000756A1" w:rsidRPr="000756A1" w:rsidRDefault="000756A1" w:rsidP="000756A1">
            <w:pPr>
              <w:spacing w:after="0" w:line="240" w:lineRule="auto"/>
              <w:rPr>
                <w:rFonts w:ascii="Calibri" w:eastAsia="Times New Roman" w:hAnsi="Calibri" w:cs="Times New Roman"/>
                <w:sz w:val="20"/>
                <w:szCs w:val="20"/>
                <w:lang w:eastAsia="el-GR"/>
              </w:rPr>
            </w:pPr>
          </w:p>
        </w:tc>
        <w:tc>
          <w:tcPr>
            <w:tcW w:w="774" w:type="pct"/>
          </w:tcPr>
          <w:p w:rsidR="000756A1" w:rsidRPr="000756A1" w:rsidRDefault="000756A1" w:rsidP="000756A1">
            <w:pPr>
              <w:spacing w:after="0" w:line="240" w:lineRule="auto"/>
              <w:rPr>
                <w:rFonts w:ascii="Calibri" w:eastAsia="Times New Roman" w:hAnsi="Calibri" w:cs="Times New Roman"/>
                <w:sz w:val="20"/>
                <w:szCs w:val="20"/>
                <w:lang w:eastAsia="el-GR"/>
              </w:rPr>
            </w:pPr>
          </w:p>
        </w:tc>
      </w:tr>
      <w:tr w:rsidR="000756A1" w:rsidRPr="000756A1" w:rsidTr="0079402B">
        <w:trPr>
          <w:trHeight w:val="2805"/>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lastRenderedPageBreak/>
              <w:t>Α16</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sz w:val="20"/>
                <w:szCs w:val="20"/>
                <w:lang w:eastAsia="el-GR"/>
              </w:rPr>
            </w:pPr>
            <w:r w:rsidRPr="000756A1">
              <w:rPr>
                <w:rFonts w:ascii="Calibri" w:eastAsia="Times New Roman" w:hAnsi="Calibri" w:cs="Times New Roman"/>
                <w:sz w:val="20"/>
                <w:szCs w:val="20"/>
                <w:lang w:eastAsia="el-GR"/>
              </w:rPr>
              <w:t xml:space="preserve">Τρυβλία κυτταροκαλλιέργειας 90mm από πρότυπο πολυστυρένιο υψηλής διαύγειας , διαστάσεων 90 x 15,8 mm, χωρίς οπές αερισμού, με ειδικό σχεδιασμο 12 °για εύκολη στοίβαξη 10 γεμισμένων τρυβλίων. αποστειρωμένα με γάμμα ακτινοβιλία σύμφωνα με το ISO 11137 SAL 10-6. </w:t>
            </w:r>
            <w:r w:rsidRPr="000756A1">
              <w:rPr>
                <w:rFonts w:ascii="Calibri" w:eastAsia="Times New Roman" w:hAnsi="Calibri" w:cs="Times New Roman"/>
                <w:sz w:val="20"/>
                <w:szCs w:val="20"/>
                <w:lang w:val="en-US" w:eastAsia="el-GR"/>
              </w:rPr>
              <w:t>N</w:t>
            </w:r>
            <w:r w:rsidRPr="000756A1">
              <w:rPr>
                <w:rFonts w:ascii="Calibri" w:eastAsia="Times New Roman" w:hAnsi="Calibri" w:cs="Times New Roman"/>
                <w:sz w:val="20"/>
                <w:szCs w:val="20"/>
                <w:lang w:eastAsia="el-GR"/>
              </w:rPr>
              <w:t>α</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είναι</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ελεύθερα</w:t>
            </w:r>
            <w:r w:rsidRPr="000756A1">
              <w:rPr>
                <w:rFonts w:ascii="Calibri" w:eastAsia="Times New Roman" w:hAnsi="Calibri" w:cs="Times New Roman"/>
                <w:sz w:val="20"/>
                <w:szCs w:val="20"/>
                <w:lang w:val="en-US" w:eastAsia="el-GR"/>
              </w:rPr>
              <w:t xml:space="preserve"> Dnase/Rnase/Human DNA , ATP &amp; Pyrogens. CE &amp; IVD certified, ISO 24998. </w:t>
            </w:r>
            <w:r w:rsidRPr="000756A1">
              <w:rPr>
                <w:rFonts w:ascii="Calibri" w:eastAsia="Times New Roman" w:hAnsi="Calibri" w:cs="Times New Roman"/>
                <w:sz w:val="20"/>
                <w:szCs w:val="20"/>
                <w:lang w:eastAsia="el-GR"/>
              </w:rPr>
              <w:t xml:space="preserve">Nα είναι σύμφωνα με την οδηγία EC 1907/2006, με την Eur. Ph., να έχουν περάσει USP class IV tests, να διαθέτουν ISO 10993 (non cytoxic). Να είναι ελέυθερα βαρέων  μετάλλων &amp; RoHS σύμφωνα με την οδηγία EU 1935/2004/CE, 2002/95/EC, UE 10/2011 &amp; EU CONEG.  Η πρώτη ύλη να είναι ελέυθερη BSE/TSE. Να κατασκευάζονται σε Clean room ISO class 8. Σε εσωτερική συσκευασία 20 τρυβλίων ανά συσκευασία.  </w:t>
            </w:r>
          </w:p>
        </w:tc>
        <w:tc>
          <w:tcPr>
            <w:tcW w:w="352" w:type="pct"/>
          </w:tcPr>
          <w:p w:rsidR="000756A1" w:rsidRPr="000756A1" w:rsidRDefault="000756A1" w:rsidP="000756A1">
            <w:pPr>
              <w:spacing w:after="0" w:line="240" w:lineRule="auto"/>
              <w:rPr>
                <w:rFonts w:ascii="Calibri" w:eastAsia="Times New Roman" w:hAnsi="Calibri" w:cs="Times New Roman"/>
                <w:sz w:val="20"/>
                <w:szCs w:val="20"/>
                <w:lang w:eastAsia="el-GR"/>
              </w:rPr>
            </w:pPr>
          </w:p>
        </w:tc>
        <w:tc>
          <w:tcPr>
            <w:tcW w:w="352" w:type="pct"/>
          </w:tcPr>
          <w:p w:rsidR="000756A1" w:rsidRPr="000756A1" w:rsidRDefault="000756A1" w:rsidP="000756A1">
            <w:pPr>
              <w:spacing w:after="0" w:line="240" w:lineRule="auto"/>
              <w:rPr>
                <w:rFonts w:ascii="Calibri" w:eastAsia="Times New Roman" w:hAnsi="Calibri" w:cs="Times New Roman"/>
                <w:sz w:val="20"/>
                <w:szCs w:val="20"/>
                <w:lang w:eastAsia="el-GR"/>
              </w:rPr>
            </w:pPr>
          </w:p>
        </w:tc>
        <w:tc>
          <w:tcPr>
            <w:tcW w:w="774" w:type="pct"/>
          </w:tcPr>
          <w:p w:rsidR="000756A1" w:rsidRPr="000756A1" w:rsidRDefault="000756A1" w:rsidP="000756A1">
            <w:pPr>
              <w:spacing w:after="0" w:line="240" w:lineRule="auto"/>
              <w:rPr>
                <w:rFonts w:ascii="Calibri" w:eastAsia="Times New Roman" w:hAnsi="Calibri" w:cs="Times New Roman"/>
                <w:sz w:val="20"/>
                <w:szCs w:val="20"/>
                <w:lang w:eastAsia="el-GR"/>
              </w:rPr>
            </w:pPr>
          </w:p>
        </w:tc>
      </w:tr>
      <w:tr w:rsidR="000756A1" w:rsidRPr="000756A1" w:rsidTr="0079402B">
        <w:trPr>
          <w:trHeight w:val="3012"/>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Α17</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RNAprotect Tissue Reagent 250ml.Διάλυμα σταθεροποίησης νωπών ιστών, για προστασία του RNA τους από πιθανή αποικοδόμηση και διατήρηση του προφίλ έκφρασης των γονιδίων τους.Το RNA παραμένει ακέραιο, μετά από φύλαξη του ιστού με το προσφερόμενο διάλυμα:στους 37ο C για 1 ημέρα</w:t>
            </w:r>
            <w:r w:rsidRPr="000756A1">
              <w:rPr>
                <w:rFonts w:ascii="Calibri" w:eastAsia="Times New Roman" w:hAnsi="Calibri" w:cs="Times New Roman"/>
                <w:color w:val="000000"/>
                <w:lang w:eastAsia="el-GR"/>
              </w:rPr>
              <w:br/>
              <w:t>Σε θερμοκρασία δωματίου (15- 25o)για 7 μέρες , στους 2-8°C για 4 εβδομάδες ,στους –20°C ή –80°C για απεριόριστο χρόνο.</w:t>
            </w:r>
            <w:r w:rsidRPr="000756A1">
              <w:rPr>
                <w:rFonts w:ascii="Calibri" w:eastAsia="Times New Roman" w:hAnsi="Calibri" w:cs="Times New Roman"/>
                <w:color w:val="000000"/>
                <w:lang w:eastAsia="el-GR"/>
              </w:rPr>
              <w:br/>
              <w:t>Χρησιμοποιείται συμπληρωματικά στη σειρά RNeasy για εκχύλιση του RNA από νωπούς ιστούς.</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150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Α18</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Εγκεκριμένο από τον Ε.Ο.Φ. πολυαλκοολούχο φαρμακευτικό αντισηπτικό χεριών Chiro Des, κατάλληλο για εφαρμογή χωρίς την προσθήκη νερού. Συνολική περιεκτικότητα σε αλκοόλες 77,4%, ενυδατικοί παράγοντες για την φροντίδα του δέρματος (λανολίνη, γλυκερόλη και βουτανοδιόλη), χωρίς χρωστικές ουσίες. Συσκευασία του 1 L.</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4283"/>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Α19</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Να συμμορφώνονται με την κοινοτική οδηγία για τα μέσα ατομικής προστασίας  PPE (EU) 2016/425 και να προστατεύουν από υγρά καθ’ όλο το μήκος τους όπως προβλέπεται από το πρότυπο  ΕΝ 420. Να συμμορφώνονται με την κοινοτική οδηγία MDR (EU) 2017/745 και να έχουν αντοχή  ACCEPTED QUALITY LEVEL (AQL) 1,5. Να προστατεύουν από χημικούς κινδύνους  ήσσονος σημασίας και σύμφωνα με το προτυπο  ΕΝ 374-1:2016 να μην διαπερνώνται τουλάχιστον από τα εξής Α.απο υδροξείδιο του νατρίου 40% (ΕΠΙΠΕΔΟ 6) Β. από φορμαλδεύδη 37% (ΕΠΙΠΕΔΟ 5) Γ. από υπεροξείδιο του υδρογόνου 30% (ΕΠΙΠΕΔΟ 6). Να είναι ανθεκτικά σε δύναμη θραύσης της τάξης των 6Ν.Να συμμορφώνονται με με τις οδηγίες  EC 1935/2004 &amp; EU No10/2011 περι καταλληλόλητας για επαφή  με τρόφιμα.Να συμμορφώνονται με το πρότυπο  ΕΝ 374-1, EN 374-4 &amp; EN 374-5 και να έχουν  βάρος ίσο ή  μεγαλύτερο  από  4.8γραμμάρια/τεμάχιο ,πάχος  ( διπλού τοιχώματος) 0,18mm.</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4069"/>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lastRenderedPageBreak/>
              <w:t>Α20</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Να συμμορφώνονται με την κοινοτική οδηγία για τα μέσα ατομικής προστασίας  PPE (EU) 2016/425 και να προστατεύουν από υγρά καθ’ όλο το μήκος τους όπως προβλέπεται από το πρότυπο  ΕΝ 420. Να συμμορφώνονται με την κοινοτική οδηγία MDR (EU) 2017/745 και να έχουν αντοχή  ACCEPTED QUALITY LEVEL (AQL) 1,5. Να προστατεύουν από χημικούς κινδύνους  ήσσονος σημασίας και σύμφωνα με το προτυπο  ΕΝ 374-1:2016 να μην διαπερνώνται τουλάχιστον από τα εξής Α.απο υδροξείδιο του νατρίου 40% (ΕΠΙΠΕΔΟ 6) Β. από φορμαλδεύδη 37% (ΕΠΙΠΕΔΟ 5) Γ. από υπεροξείδιο του υδρογόνου 30% (ΕΠΙΠΕΔΟ 6). Να είναι ανθεκτικά σε δύναμη θραύσης της τάξης των 6Ν.Να συμμορφώνονται με με τις οδηγίες  EC 1935/2004 &amp; EU No10/2011 περι καταλληλόλητας για επαφή  με τρόφιμα.Να συμμορφώνονται με το πρότυπο  ΕΝ 374-1, EN 374-4 &amp; EN 374-5 και να έχουν  βάρος ίσο ή  μεγαλύτερο  από  4.8γραμμάρια/τεμάχιο ,πάχος  ( διπλού τοιχώματος) 0,18mm.</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4489"/>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Α21</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Να συμμορφώνονται με την κοινοτική οδηγία για τα μέσα ατομικής προστασίας  PPE (EU) 2016/425 και να προστατεύουν από υγρά καθ’ όλο το μήκος τους όπως προβλέπεται από το πρότυπο  ΕΝ 420. Να συμμορφώνονται με την κοινοτική οδηγία MDR (EU) 2017/745 και να έχουν αντοχή  ACCEPTED QUALITY LEVEL (AQL) 1,5. Να προστατεύουν από χημικούς κινδύνους  ήσσονος σημασίας και σύμφωνα με το προτυπο  ΕΝ 374-1:2016 να μην διαπερνώνται τουλάχιστον από τα εξής Α.απο υδροξείδιο του νατρίου 40% (ΕΠΙΠΕΔΟ 6) Β. από φορμαλδεύδη 37% (ΕΠΙΠΕΔΟ 5) Γ. από υπεροξείδιο του υδρογόνου 30% (ΕΠΙΠΕΔΟ 6). Να είναι ανθεκτικά σε δύναμη θραύσης της τάξης των 6Ν.Να συμμορφώνονται με με τις οδηγίες  EC 1935/2004 &amp; EU No10/2011 περι καταλληλόλητας για επαφή  με τρόφιμα.Να συμμορφώνονται με το πρότυπο  ΕΝ 374-1, EN 374-4 &amp; EN 374-5 και να έχουν  βάρος ίσο ή  μεγαλύτερο  από  4.8γραμμάρια/τεμάχιο ,πάχος  ( διπλού τοιχώματος) 0,18mm.</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60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Α22</w:t>
            </w:r>
          </w:p>
        </w:tc>
        <w:tc>
          <w:tcPr>
            <w:tcW w:w="3235" w:type="pct"/>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Sanger sequencing PCR προιόντων</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535"/>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Α23</w:t>
            </w:r>
          </w:p>
        </w:tc>
        <w:tc>
          <w:tcPr>
            <w:tcW w:w="3235" w:type="pct"/>
            <w:shd w:val="clear" w:color="auto" w:fill="auto"/>
            <w:noWrap/>
            <w:vAlign w:val="bottom"/>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Σύριγγες 3 μερών 2,5 ml με βελόνα 21G  ή 23G, συσκευασία 100 τεμαχίων</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713"/>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Α24</w:t>
            </w:r>
          </w:p>
        </w:tc>
        <w:tc>
          <w:tcPr>
            <w:tcW w:w="3235" w:type="pct"/>
            <w:shd w:val="clear" w:color="auto" w:fill="auto"/>
            <w:noWrap/>
            <w:vAlign w:val="bottom"/>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Σύριγγες 3 μερών 5 ml με βελόνα 21G  ή 23G, συσκευασία 100 τεμαχίων</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30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Α25</w:t>
            </w:r>
          </w:p>
        </w:tc>
        <w:tc>
          <w:tcPr>
            <w:tcW w:w="3235" w:type="pct"/>
            <w:shd w:val="clear" w:color="auto" w:fill="auto"/>
            <w:noWrap/>
            <w:vAlign w:val="bottom"/>
            <w:hideMark/>
          </w:tcPr>
          <w:p w:rsidR="000756A1" w:rsidRPr="000756A1" w:rsidRDefault="000756A1" w:rsidP="000756A1">
            <w:pPr>
              <w:spacing w:after="0" w:line="240" w:lineRule="auto"/>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Σύριγγες 3 μερών 10 ml με βελόνα 21G  ή 23G, συσκευασία 100 τεμαχίων</w:t>
            </w: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Times New Roman"/>
                <w:color w:val="000000"/>
                <w:lang w:eastAsia="el-GR"/>
              </w:rPr>
            </w:pPr>
          </w:p>
        </w:tc>
        <w:tc>
          <w:tcPr>
            <w:tcW w:w="774" w:type="pct"/>
          </w:tcPr>
          <w:p w:rsidR="000756A1" w:rsidRPr="000756A1" w:rsidRDefault="000756A1" w:rsidP="000756A1">
            <w:pPr>
              <w:spacing w:after="0" w:line="240" w:lineRule="auto"/>
              <w:rPr>
                <w:rFonts w:ascii="Calibri" w:eastAsia="Times New Roman" w:hAnsi="Calibri" w:cs="Times New Roman"/>
                <w:color w:val="000000"/>
                <w:lang w:eastAsia="el-GR"/>
              </w:rPr>
            </w:pPr>
          </w:p>
        </w:tc>
      </w:tr>
      <w:tr w:rsidR="000756A1" w:rsidRPr="000756A1" w:rsidTr="0079402B">
        <w:trPr>
          <w:trHeight w:val="562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lastRenderedPageBreak/>
              <w:t>Α26</w:t>
            </w:r>
          </w:p>
        </w:tc>
        <w:tc>
          <w:tcPr>
            <w:tcW w:w="3235" w:type="pct"/>
            <w:shd w:val="clear" w:color="auto" w:fill="auto"/>
            <w:vAlign w:val="center"/>
            <w:hideMark/>
          </w:tcPr>
          <w:p w:rsidR="000756A1" w:rsidRPr="000756A1" w:rsidRDefault="000756A1" w:rsidP="000756A1">
            <w:pPr>
              <w:spacing w:after="240" w:line="240" w:lineRule="auto"/>
              <w:rPr>
                <w:rFonts w:ascii="Calibri" w:eastAsia="Times New Roman" w:hAnsi="Calibri" w:cs="Times New Roman"/>
                <w:sz w:val="20"/>
                <w:szCs w:val="20"/>
                <w:lang w:val="en-US" w:eastAsia="el-GR"/>
              </w:rPr>
            </w:pPr>
            <w:r w:rsidRPr="000756A1">
              <w:rPr>
                <w:rFonts w:ascii="Calibri" w:eastAsia="Times New Roman" w:hAnsi="Calibri" w:cs="Times New Roman"/>
                <w:sz w:val="20"/>
                <w:szCs w:val="20"/>
                <w:lang w:eastAsia="el-GR"/>
              </w:rPr>
              <w:t xml:space="preserve">Τα αντιδραστήρια πρέπει να είναι συμβατά με τον ήδη υπάρχοντα εξοπλισμό {Ion S5 Next Generation Sequencing System και Ion OneTouch 2.0 System. Aναλώσιμα για Bacterial Whole Genome Sequencing &amp; 16S Metagenomics. </w:t>
            </w:r>
            <w:r w:rsidRPr="000756A1">
              <w:rPr>
                <w:rFonts w:ascii="Calibri" w:eastAsia="Times New Roman" w:hAnsi="Calibri" w:cs="Times New Roman"/>
                <w:sz w:val="20"/>
                <w:szCs w:val="20"/>
                <w:lang w:eastAsia="el-GR"/>
              </w:rPr>
              <w:br/>
              <w:t xml:space="preserve">Η τεχνολογία αλληλούχησης να βασίζεται σε εξειδικευμένες συστοιχίες ημιαγωγών (Chips)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DNA.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(DNA μόρια) σε ψηφιακή (DNA αλληλουχία) με τον πλέον γρήγορο, αξιόπιστο και υψηλής ακρίβεια τρόπο.                                                                            </w:t>
            </w:r>
            <w:r w:rsidRPr="000756A1">
              <w:rPr>
                <w:rFonts w:ascii="Calibri" w:eastAsia="Times New Roman" w:hAnsi="Calibri" w:cs="Times New Roman"/>
                <w:sz w:val="20"/>
                <w:szCs w:val="20"/>
                <w:lang w:val="en-US" w:eastAsia="el-GR"/>
              </w:rPr>
              <w:t xml:space="preserve">"Ion 520™ &amp; Ion 530™ Kit-OT2, </w:t>
            </w:r>
            <w:r w:rsidRPr="000756A1">
              <w:rPr>
                <w:rFonts w:ascii="Calibri" w:eastAsia="Times New Roman" w:hAnsi="Calibri" w:cs="Times New Roman"/>
                <w:sz w:val="20"/>
                <w:szCs w:val="20"/>
                <w:lang w:eastAsia="el-GR"/>
              </w:rPr>
              <w:t>για</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χρήση</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με</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τα</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συστήματα</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της</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σειράς</w:t>
            </w:r>
            <w:r w:rsidRPr="000756A1">
              <w:rPr>
                <w:rFonts w:ascii="Calibri" w:eastAsia="Times New Roman" w:hAnsi="Calibri" w:cs="Times New Roman"/>
                <w:sz w:val="20"/>
                <w:szCs w:val="20"/>
                <w:lang w:val="en-US" w:eastAsia="el-GR"/>
              </w:rPr>
              <w:t xml:space="preserve"> Ion S5</w:t>
            </w:r>
            <w:r w:rsidRPr="000756A1">
              <w:rPr>
                <w:rFonts w:ascii="Calibri" w:eastAsia="Times New Roman" w:hAnsi="Calibri" w:cs="Times New Roman"/>
                <w:sz w:val="20"/>
                <w:szCs w:val="20"/>
                <w:lang w:val="en-US" w:eastAsia="el-GR"/>
              </w:rPr>
              <w:br/>
            </w:r>
            <w:r w:rsidRPr="000756A1">
              <w:rPr>
                <w:rFonts w:ascii="Calibri" w:eastAsia="Times New Roman" w:hAnsi="Calibri" w:cs="Times New Roman"/>
                <w:sz w:val="20"/>
                <w:szCs w:val="20"/>
                <w:lang w:eastAsia="el-GR"/>
              </w:rPr>
              <w:t>Το</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κιτ</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να</w:t>
            </w:r>
            <w:r w:rsidRPr="000756A1">
              <w:rPr>
                <w:rFonts w:ascii="Calibri" w:eastAsia="Times New Roman" w:hAnsi="Calibri" w:cs="Times New Roman"/>
                <w:sz w:val="20"/>
                <w:szCs w:val="20"/>
                <w:lang w:val="en-US" w:eastAsia="el-GR"/>
              </w:rPr>
              <w:t xml:space="preserve"> </w:t>
            </w:r>
            <w:r w:rsidRPr="000756A1">
              <w:rPr>
                <w:rFonts w:ascii="Calibri" w:eastAsia="Times New Roman" w:hAnsi="Calibri" w:cs="Times New Roman"/>
                <w:sz w:val="20"/>
                <w:szCs w:val="20"/>
                <w:lang w:eastAsia="el-GR"/>
              </w:rPr>
              <w:t>περιλαμβάνει</w:t>
            </w:r>
            <w:r w:rsidRPr="000756A1">
              <w:rPr>
                <w:rFonts w:ascii="Calibri" w:eastAsia="Times New Roman" w:hAnsi="Calibri" w:cs="Times New Roman"/>
                <w:sz w:val="20"/>
                <w:szCs w:val="20"/>
                <w:lang w:val="en-US" w:eastAsia="el-GR"/>
              </w:rPr>
              <w:t>:</w:t>
            </w:r>
            <w:r w:rsidRPr="000756A1">
              <w:rPr>
                <w:rFonts w:ascii="Calibri" w:eastAsia="Times New Roman" w:hAnsi="Calibri" w:cs="Times New Roman"/>
                <w:sz w:val="20"/>
                <w:szCs w:val="20"/>
                <w:lang w:val="en-US" w:eastAsia="el-GR"/>
              </w:rPr>
              <w:br/>
              <w:t>• Ion S5 OT2 Solutions,</w:t>
            </w:r>
            <w:r w:rsidRPr="000756A1">
              <w:rPr>
                <w:rFonts w:ascii="Calibri" w:eastAsia="Times New Roman" w:hAnsi="Calibri" w:cs="Times New Roman"/>
                <w:sz w:val="20"/>
                <w:szCs w:val="20"/>
                <w:lang w:val="en-US" w:eastAsia="el-GR"/>
              </w:rPr>
              <w:br/>
              <w:t>• Ion S5 OT2 Supplies</w:t>
            </w:r>
            <w:r w:rsidRPr="000756A1">
              <w:rPr>
                <w:rFonts w:ascii="Calibri" w:eastAsia="Times New Roman" w:hAnsi="Calibri" w:cs="Times New Roman"/>
                <w:sz w:val="20"/>
                <w:szCs w:val="20"/>
                <w:lang w:val="en-US" w:eastAsia="el-GR"/>
              </w:rPr>
              <w:br/>
              <w:t>• Ion 520/530 OT2 Reagents</w:t>
            </w:r>
            <w:r w:rsidRPr="000756A1">
              <w:rPr>
                <w:rFonts w:ascii="Calibri" w:eastAsia="Times New Roman" w:hAnsi="Calibri" w:cs="Times New Roman"/>
                <w:sz w:val="20"/>
                <w:szCs w:val="20"/>
                <w:lang w:val="en-US" w:eastAsia="el-GR"/>
              </w:rPr>
              <w:br/>
              <w:t>• Ion 520/530 Loading Reagents-OT2</w:t>
            </w:r>
            <w:r w:rsidRPr="000756A1">
              <w:rPr>
                <w:rFonts w:ascii="Calibri" w:eastAsia="Times New Roman" w:hAnsi="Calibri" w:cs="Times New Roman"/>
                <w:sz w:val="20"/>
                <w:szCs w:val="20"/>
                <w:lang w:val="en-US" w:eastAsia="el-GR"/>
              </w:rPr>
              <w:br/>
              <w:t>• Ion S5 Sequencing Solutions                                                                                      • Ion S5 Sequencing Reagents</w:t>
            </w:r>
            <w:r w:rsidRPr="000756A1">
              <w:rPr>
                <w:rFonts w:ascii="Calibri" w:eastAsia="Times New Roman" w:hAnsi="Calibri" w:cs="Times New Roman"/>
                <w:sz w:val="20"/>
                <w:szCs w:val="20"/>
                <w:lang w:val="en-US" w:eastAsia="el-GR"/>
              </w:rPr>
              <w:br/>
            </w:r>
            <w:r w:rsidRPr="000756A1">
              <w:rPr>
                <w:rFonts w:ascii="Calibri" w:eastAsia="Times New Roman" w:hAnsi="Calibri" w:cs="Times New Roman"/>
                <w:sz w:val="20"/>
                <w:szCs w:val="20"/>
                <w:lang w:eastAsia="el-GR"/>
              </w:rPr>
              <w:t>Συσκευασία</w:t>
            </w:r>
            <w:r w:rsidRPr="000756A1">
              <w:rPr>
                <w:rFonts w:ascii="Calibri" w:eastAsia="Times New Roman" w:hAnsi="Calibri" w:cs="Times New Roman"/>
                <w:sz w:val="20"/>
                <w:szCs w:val="20"/>
                <w:lang w:val="en-US" w:eastAsia="el-GR"/>
              </w:rPr>
              <w:t xml:space="preserve"> 1 </w:t>
            </w:r>
            <w:r w:rsidRPr="000756A1">
              <w:rPr>
                <w:rFonts w:ascii="Calibri" w:eastAsia="Times New Roman" w:hAnsi="Calibri" w:cs="Times New Roman"/>
                <w:sz w:val="20"/>
                <w:szCs w:val="20"/>
                <w:lang w:eastAsia="el-GR"/>
              </w:rPr>
              <w:t>κιτ</w:t>
            </w:r>
            <w:r w:rsidRPr="000756A1">
              <w:rPr>
                <w:rFonts w:ascii="Calibri" w:eastAsia="Times New Roman" w:hAnsi="Calibri" w:cs="Times New Roman"/>
                <w:sz w:val="20"/>
                <w:szCs w:val="20"/>
                <w:lang w:val="en-US" w:eastAsia="el-GR"/>
              </w:rPr>
              <w:br/>
            </w:r>
          </w:p>
        </w:tc>
        <w:tc>
          <w:tcPr>
            <w:tcW w:w="352" w:type="pct"/>
          </w:tcPr>
          <w:p w:rsidR="000756A1" w:rsidRPr="000756A1" w:rsidRDefault="000756A1" w:rsidP="000756A1">
            <w:pPr>
              <w:spacing w:after="240" w:line="240" w:lineRule="auto"/>
              <w:rPr>
                <w:rFonts w:ascii="Calibri" w:eastAsia="Times New Roman" w:hAnsi="Calibri" w:cs="Times New Roman"/>
                <w:sz w:val="20"/>
                <w:szCs w:val="20"/>
                <w:lang w:val="en-US" w:eastAsia="el-GR"/>
              </w:rPr>
            </w:pPr>
          </w:p>
        </w:tc>
        <w:tc>
          <w:tcPr>
            <w:tcW w:w="352" w:type="pct"/>
          </w:tcPr>
          <w:p w:rsidR="000756A1" w:rsidRPr="000756A1" w:rsidRDefault="000756A1" w:rsidP="000756A1">
            <w:pPr>
              <w:spacing w:after="240" w:line="240" w:lineRule="auto"/>
              <w:rPr>
                <w:rFonts w:ascii="Calibri" w:eastAsia="Times New Roman" w:hAnsi="Calibri" w:cs="Times New Roman"/>
                <w:sz w:val="20"/>
                <w:szCs w:val="20"/>
                <w:lang w:val="en-US" w:eastAsia="el-GR"/>
              </w:rPr>
            </w:pPr>
          </w:p>
        </w:tc>
        <w:tc>
          <w:tcPr>
            <w:tcW w:w="774" w:type="pct"/>
          </w:tcPr>
          <w:p w:rsidR="000756A1" w:rsidRPr="000756A1" w:rsidRDefault="000756A1" w:rsidP="000756A1">
            <w:pPr>
              <w:spacing w:after="240" w:line="240" w:lineRule="auto"/>
              <w:rPr>
                <w:rFonts w:ascii="Calibri" w:eastAsia="Times New Roman" w:hAnsi="Calibri" w:cs="Times New Roman"/>
                <w:sz w:val="20"/>
                <w:szCs w:val="20"/>
                <w:lang w:val="en-US" w:eastAsia="el-GR"/>
              </w:rPr>
            </w:pPr>
          </w:p>
        </w:tc>
      </w:tr>
      <w:tr w:rsidR="000756A1" w:rsidRPr="000756A1" w:rsidTr="0079402B">
        <w:trPr>
          <w:trHeight w:val="3570"/>
        </w:trPr>
        <w:tc>
          <w:tcPr>
            <w:tcW w:w="287" w:type="pct"/>
            <w:shd w:val="clear" w:color="auto" w:fill="auto"/>
            <w:vAlign w:val="center"/>
            <w:hideMark/>
          </w:tcPr>
          <w:p w:rsidR="000756A1" w:rsidRPr="000756A1" w:rsidRDefault="000756A1" w:rsidP="000756A1">
            <w:pPr>
              <w:spacing w:after="0" w:line="240" w:lineRule="auto"/>
              <w:jc w:val="center"/>
              <w:rPr>
                <w:rFonts w:ascii="Calibri" w:eastAsia="Times New Roman" w:hAnsi="Calibri" w:cs="Times New Roman"/>
                <w:color w:val="000000"/>
                <w:lang w:eastAsia="el-GR"/>
              </w:rPr>
            </w:pPr>
            <w:r w:rsidRPr="000756A1">
              <w:rPr>
                <w:rFonts w:ascii="Calibri" w:eastAsia="Times New Roman" w:hAnsi="Calibri" w:cs="Times New Roman"/>
                <w:color w:val="000000"/>
                <w:lang w:eastAsia="el-GR"/>
              </w:rPr>
              <w:t>Α27</w:t>
            </w:r>
          </w:p>
        </w:tc>
        <w:tc>
          <w:tcPr>
            <w:tcW w:w="3235" w:type="pct"/>
            <w:shd w:val="clear" w:color="auto" w:fill="auto"/>
            <w:noWrap/>
            <w:vAlign w:val="bottom"/>
            <w:hideMark/>
          </w:tcPr>
          <w:p w:rsidR="000756A1" w:rsidRPr="000756A1" w:rsidRDefault="000756A1" w:rsidP="000756A1">
            <w:pPr>
              <w:spacing w:after="0" w:line="240" w:lineRule="auto"/>
              <w:rPr>
                <w:rFonts w:ascii="Calibri" w:eastAsia="Times New Roman" w:hAnsi="Calibri" w:cs="Times New Roman"/>
                <w:color w:val="000000"/>
                <w:lang w:val="en-US" w:eastAsia="el-GR"/>
              </w:rPr>
            </w:pPr>
            <w:r w:rsidRPr="000756A1">
              <w:rPr>
                <w:rFonts w:ascii="Calibri" w:eastAsia="Times New Roman" w:hAnsi="Calibri" w:cs="Calibri"/>
                <w:noProof/>
                <w:szCs w:val="24"/>
                <w:lang w:eastAsia="el-G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60" name="Εικόνα 60"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56"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1312"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9" name="Εικόνα 5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57"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3360"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8" name="Εικόνα 58"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58"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5408"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7" name="Εικόνα 5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59"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7456"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6" name="Εικόνα 5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0"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9504"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5" name="Εικόνα 55"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1"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1552"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4" name="Εικόνα 54"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3"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3600"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3" name="Εικόνα 53"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4"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5648"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2" name="Εικόνα 52"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6"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7696"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1" name="Εικόνα 51"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7"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9744"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50" name="Εικόνα 50"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8"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1792"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49" name="Εικόνα 49"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9"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3840"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48" name="Εικόνα 48"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0"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5888"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47" name="Εικόνα 47"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1"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7936" behindDoc="0" locked="0" layoutInCell="1" allowOverlap="1">
                  <wp:simplePos x="0" y="0"/>
                  <wp:positionH relativeFrom="column">
                    <wp:posOffset>180975</wp:posOffset>
                  </wp:positionH>
                  <wp:positionV relativeFrom="paragraph">
                    <wp:posOffset>190500</wp:posOffset>
                  </wp:positionV>
                  <wp:extent cx="0" cy="9525"/>
                  <wp:effectExtent l="0" t="0" r="0" b="0"/>
                  <wp:wrapNone/>
                  <wp:docPr id="46" name="Εικόνα 46" descr="http://ib.adnxs.com/seg?add=1684329&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2" descr="http://ib.adnxs.com/seg?add=1684329&am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0288"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45" name="Εικόνα 45"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3"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2336"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44" name="Εικόνα 44"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5"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4384"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43" name="Εικόνα 4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6"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6432"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42" name="Εικόνα 4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8"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68480"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41" name="Εικόνα 4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9"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0528"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40" name="Εικόνα 40"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0"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2576"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9" name="Εικόνα 39"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1"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4624"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8" name="Εικόνα 38"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2"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6672"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7" name="Εικόνα 37"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3"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78720"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6" name="Εικόνα 36"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4"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0768"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5" name="Εικόνα 35"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5"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2816"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4" name="Εικόνα 34"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7"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4864"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3" name="Εικόνα 33"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8"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6912"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2" name="Εικόνα 32"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0"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A1">
              <w:rPr>
                <w:rFonts w:ascii="Calibri" w:eastAsia="Times New Roman" w:hAnsi="Calibri" w:cs="Calibri"/>
                <w:noProof/>
                <w:szCs w:val="24"/>
                <w:lang w:eastAsia="el-GR"/>
              </w:rPr>
              <w:drawing>
                <wp:anchor distT="0" distB="0" distL="114300" distR="114300" simplePos="0" relativeHeight="251688960" behindDoc="0" locked="0" layoutInCell="1" allowOverlap="1">
                  <wp:simplePos x="0" y="0"/>
                  <wp:positionH relativeFrom="column">
                    <wp:posOffset>219075</wp:posOffset>
                  </wp:positionH>
                  <wp:positionV relativeFrom="paragraph">
                    <wp:posOffset>190500</wp:posOffset>
                  </wp:positionV>
                  <wp:extent cx="0" cy="9525"/>
                  <wp:effectExtent l="0" t="0" r="0" b="0"/>
                  <wp:wrapNone/>
                  <wp:docPr id="31" name="Εικόνα 31" descr="http://googleads.g.doubleclick.net/pagead/viewthroughconversion/976682315/?label=o1Z_CMHLgFcQy_rb0QM&amp;guid=ON&amp;script=0&amp;ord=238724219449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1" descr="http://googleads.g.doubleclick.net/pagead/viewthroughconversion/976682315/?label=o1Z_CMHLgFcQy_rb0QM&amp;guid=ON&amp;script=0&amp;ord=23872421944935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7140"/>
            </w:tblGrid>
            <w:tr w:rsidR="000756A1" w:rsidRPr="000756A1" w:rsidTr="0079402B">
              <w:trPr>
                <w:trHeight w:val="3570"/>
                <w:tblCellSpacing w:w="0" w:type="dxa"/>
              </w:trPr>
              <w:tc>
                <w:tcPr>
                  <w:tcW w:w="7140" w:type="dxa"/>
                  <w:tcBorders>
                    <w:top w:val="nil"/>
                    <w:left w:val="nil"/>
                    <w:bottom w:val="single" w:sz="4" w:space="0" w:color="auto"/>
                    <w:right w:val="single" w:sz="4" w:space="0" w:color="auto"/>
                  </w:tcBorders>
                  <w:shd w:val="clear" w:color="auto" w:fill="auto"/>
                  <w:vAlign w:val="center"/>
                  <w:hideMark/>
                </w:tcPr>
                <w:p w:rsidR="000756A1" w:rsidRPr="000756A1" w:rsidRDefault="000756A1" w:rsidP="000756A1">
                  <w:pPr>
                    <w:spacing w:after="0" w:line="240" w:lineRule="auto"/>
                    <w:rPr>
                      <w:rFonts w:ascii="Calibri" w:eastAsia="Times New Roman" w:hAnsi="Calibri" w:cs="Times New Roman"/>
                      <w:color w:val="000000"/>
                      <w:sz w:val="20"/>
                      <w:szCs w:val="20"/>
                      <w:lang w:eastAsia="el-GR"/>
                    </w:rPr>
                  </w:pPr>
                  <w:r w:rsidRPr="000756A1">
                    <w:rPr>
                      <w:rFonts w:ascii="Calibri" w:eastAsia="Times New Roman" w:hAnsi="Calibri" w:cs="Times New Roman"/>
                      <w:color w:val="000000"/>
                      <w:sz w:val="20"/>
                      <w:szCs w:val="20"/>
                      <w:lang w:eastAsia="el-GR"/>
                    </w:rPr>
                    <w:t xml:space="preserve">Τα αντιδραστήρια πρέπει να είναι συμβατά με τον ήδη υπάρχοντα εξοπλισμό {Ion S5 Next Generation Sequencing System και Ion OneTouch 2.0 System. Aναλώσιμα για Bacterial Whole Genome Sequencing &amp; 16S Metagenomics. </w:t>
                  </w:r>
                  <w:r w:rsidRPr="000756A1">
                    <w:rPr>
                      <w:rFonts w:ascii="Calibri" w:eastAsia="Times New Roman" w:hAnsi="Calibri" w:cs="Times New Roman"/>
                      <w:color w:val="000000"/>
                      <w:sz w:val="20"/>
                      <w:szCs w:val="20"/>
                      <w:lang w:eastAsia="el-GR"/>
                    </w:rPr>
                    <w:br/>
                    <w:t>Η τεχνολογία αλληλούχησης να βασίζεται σε εξειδικευμένες συστοιχίες ημιαγωγών (Chips)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DNA.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(DNA μόρια) σε ψηφιακή (DNA αλληλουχία) με τον πλέον γρήγορο, αξιόπιστο και υψηλής ακρίβεια τρόπο.                                                                             Κιτ προετοιμασίας βιβλιοθηκών θραυσμάτων που να περιέχει αντιδραστήρια προετοιμασίας δειγμάτων για ενζυματική διάτμηση και κατασκευή βιβλιοθήκης για μέχρι 20 βιβλιοθήκες DNA (ανάλογα με τον τύπο input DNA) για την αλληλούχιση με τεχνολογία ημιαγωγών. Συσκευασία για 20 δείγματα.</w:t>
                  </w:r>
                </w:p>
              </w:tc>
            </w:tr>
          </w:tbl>
          <w:p w:rsidR="000756A1" w:rsidRPr="000756A1" w:rsidRDefault="000756A1" w:rsidP="000756A1">
            <w:pPr>
              <w:spacing w:after="0" w:line="240" w:lineRule="auto"/>
              <w:rPr>
                <w:rFonts w:ascii="Calibri" w:eastAsia="Times New Roman" w:hAnsi="Calibri" w:cs="Times New Roman"/>
                <w:color w:val="000000"/>
                <w:lang w:eastAsia="el-GR"/>
              </w:rPr>
            </w:pPr>
          </w:p>
        </w:tc>
        <w:tc>
          <w:tcPr>
            <w:tcW w:w="352" w:type="pct"/>
          </w:tcPr>
          <w:p w:rsidR="000756A1" w:rsidRPr="000756A1" w:rsidRDefault="000756A1" w:rsidP="000756A1">
            <w:pPr>
              <w:spacing w:after="0" w:line="240" w:lineRule="auto"/>
              <w:rPr>
                <w:rFonts w:ascii="Calibri" w:eastAsia="Times New Roman" w:hAnsi="Calibri" w:cs="Calibri"/>
                <w:noProof/>
                <w:szCs w:val="24"/>
                <w:lang w:val="en-GB" w:eastAsia="ar-SA"/>
              </w:rPr>
            </w:pPr>
          </w:p>
        </w:tc>
        <w:tc>
          <w:tcPr>
            <w:tcW w:w="352" w:type="pct"/>
          </w:tcPr>
          <w:p w:rsidR="000756A1" w:rsidRPr="000756A1" w:rsidRDefault="000756A1" w:rsidP="000756A1">
            <w:pPr>
              <w:spacing w:after="0" w:line="240" w:lineRule="auto"/>
              <w:rPr>
                <w:rFonts w:ascii="Calibri" w:eastAsia="Times New Roman" w:hAnsi="Calibri" w:cs="Calibri"/>
                <w:noProof/>
                <w:szCs w:val="24"/>
                <w:lang w:val="en-GB" w:eastAsia="ar-SA"/>
              </w:rPr>
            </w:pPr>
          </w:p>
        </w:tc>
        <w:tc>
          <w:tcPr>
            <w:tcW w:w="774" w:type="pct"/>
          </w:tcPr>
          <w:p w:rsidR="000756A1" w:rsidRPr="000756A1" w:rsidRDefault="000756A1" w:rsidP="000756A1">
            <w:pPr>
              <w:spacing w:after="0" w:line="240" w:lineRule="auto"/>
              <w:rPr>
                <w:rFonts w:ascii="Calibri" w:eastAsia="Times New Roman" w:hAnsi="Calibri" w:cs="Calibri"/>
                <w:noProof/>
                <w:szCs w:val="24"/>
                <w:lang w:val="en-GB" w:eastAsia="ar-SA"/>
              </w:rPr>
            </w:pPr>
          </w:p>
        </w:tc>
      </w:tr>
    </w:tbl>
    <w:p w:rsidR="000756A1" w:rsidRDefault="000756A1"/>
    <w:sectPr w:rsidR="000756A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A1" w:rsidRDefault="000756A1" w:rsidP="000756A1">
      <w:pPr>
        <w:spacing w:after="0" w:line="240" w:lineRule="auto"/>
      </w:pPr>
      <w:r>
        <w:separator/>
      </w:r>
    </w:p>
  </w:endnote>
  <w:endnote w:type="continuationSeparator" w:id="0">
    <w:p w:rsidR="000756A1" w:rsidRDefault="000756A1" w:rsidP="0007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A1" w:rsidRDefault="000756A1" w:rsidP="000756A1">
      <w:pPr>
        <w:spacing w:after="0" w:line="240" w:lineRule="auto"/>
      </w:pPr>
      <w:r>
        <w:separator/>
      </w:r>
    </w:p>
  </w:footnote>
  <w:footnote w:type="continuationSeparator" w:id="0">
    <w:p w:rsidR="000756A1" w:rsidRDefault="000756A1" w:rsidP="00075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776035"/>
      <w:docPartObj>
        <w:docPartGallery w:val="Page Numbers (Top of Page)"/>
        <w:docPartUnique/>
      </w:docPartObj>
    </w:sdtPr>
    <w:sdtContent>
      <w:p w:rsidR="000756A1" w:rsidRDefault="000756A1">
        <w:pPr>
          <w:pStyle w:val="a3"/>
          <w:jc w:val="right"/>
        </w:pPr>
        <w:r>
          <w:fldChar w:fldCharType="begin"/>
        </w:r>
        <w:r>
          <w:instrText>PAGE   \* MERGEFORMAT</w:instrText>
        </w:r>
        <w:r>
          <w:fldChar w:fldCharType="separate"/>
        </w:r>
        <w:r>
          <w:rPr>
            <w:noProof/>
          </w:rPr>
          <w:t>2</w:t>
        </w:r>
        <w:r>
          <w:fldChar w:fldCharType="end"/>
        </w:r>
      </w:p>
    </w:sdtContent>
  </w:sdt>
  <w:p w:rsidR="000756A1" w:rsidRDefault="000756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A1"/>
    <w:rsid w:val="000756A1"/>
    <w:rsid w:val="00614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246A5E49"/>
  <w15:chartTrackingRefBased/>
  <w15:docId w15:val="{2AD90909-27F8-414B-82E6-1A88AB83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6A1"/>
    <w:pPr>
      <w:tabs>
        <w:tab w:val="center" w:pos="4153"/>
        <w:tab w:val="right" w:pos="8306"/>
      </w:tabs>
      <w:spacing w:after="0" w:line="240" w:lineRule="auto"/>
    </w:pPr>
  </w:style>
  <w:style w:type="character" w:customStyle="1" w:styleId="Char">
    <w:name w:val="Κεφαλίδα Char"/>
    <w:basedOn w:val="a0"/>
    <w:link w:val="a3"/>
    <w:uiPriority w:val="99"/>
    <w:rsid w:val="000756A1"/>
  </w:style>
  <w:style w:type="paragraph" w:styleId="a4">
    <w:name w:val="footer"/>
    <w:basedOn w:val="a"/>
    <w:link w:val="Char0"/>
    <w:uiPriority w:val="99"/>
    <w:unhideWhenUsed/>
    <w:rsid w:val="000756A1"/>
    <w:pPr>
      <w:tabs>
        <w:tab w:val="center" w:pos="4153"/>
        <w:tab w:val="right" w:pos="8306"/>
      </w:tabs>
      <w:spacing w:after="0" w:line="240" w:lineRule="auto"/>
    </w:pPr>
  </w:style>
  <w:style w:type="character" w:customStyle="1" w:styleId="Char0">
    <w:name w:val="Υποσέλιδο Char"/>
    <w:basedOn w:val="a0"/>
    <w:link w:val="a4"/>
    <w:uiPriority w:val="99"/>
    <w:rsid w:val="0007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2685</Words>
  <Characters>14500</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1</cp:revision>
  <dcterms:created xsi:type="dcterms:W3CDTF">2022-06-24T08:53:00Z</dcterms:created>
  <dcterms:modified xsi:type="dcterms:W3CDTF">2022-06-24T08:54:00Z</dcterms:modified>
</cp:coreProperties>
</file>