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5E" w:rsidRDefault="001A685E">
      <w:bookmarkStart w:id="0" w:name="_GoBack"/>
      <w:bookmarkEnd w:id="0"/>
    </w:p>
    <w:p w:rsidR="00193883" w:rsidRDefault="00193883"/>
    <w:p w:rsidR="00193883" w:rsidRDefault="00193883"/>
    <w:p w:rsidR="00193883" w:rsidRDefault="00193883"/>
    <w:p w:rsidR="00193883" w:rsidRPr="00E94B94" w:rsidRDefault="00193883" w:rsidP="00193883">
      <w:pPr>
        <w:pStyle w:val="normalwithoutspacing"/>
        <w:spacing w:after="120"/>
        <w:rPr>
          <w:b/>
          <w:color w:val="000000"/>
          <w:sz w:val="24"/>
        </w:rPr>
      </w:pPr>
      <w:r w:rsidRPr="00E94B94">
        <w:rPr>
          <w:b/>
          <w:bCs/>
          <w:color w:val="000000"/>
          <w:sz w:val="24"/>
        </w:rPr>
        <w:t xml:space="preserve"> </w:t>
      </w:r>
      <w:r w:rsidRPr="00D54FF6">
        <w:rPr>
          <w:b/>
          <w:bCs/>
          <w:color w:val="000000"/>
          <w:sz w:val="24"/>
          <w:u w:val="single"/>
        </w:rPr>
        <w:t>Πίνακες Συμμόρφωσης</w:t>
      </w:r>
      <w:r w:rsidRPr="00E94B94">
        <w:rPr>
          <w:b/>
          <w:bCs/>
          <w:color w:val="000000"/>
          <w:sz w:val="24"/>
        </w:rPr>
        <w:t xml:space="preserve"> </w:t>
      </w:r>
    </w:p>
    <w:p w:rsidR="00193883" w:rsidRPr="001F15CF" w:rsidRDefault="00193883" w:rsidP="00193883">
      <w:pPr>
        <w:suppressAutoHyphens w:val="0"/>
        <w:autoSpaceDE w:val="0"/>
        <w:rPr>
          <w:rFonts w:eastAsia="SimSun"/>
          <w:sz w:val="24"/>
          <w:lang w:val="el-GR"/>
        </w:rPr>
      </w:pPr>
    </w:p>
    <w:p w:rsidR="00193883" w:rsidRPr="00C7638C" w:rsidRDefault="00193883" w:rsidP="00193883">
      <w:pPr>
        <w:spacing w:after="0"/>
        <w:rPr>
          <w:rFonts w:eastAsia="Calibri" w:cs="Times New Roman"/>
          <w:b/>
          <w:bCs/>
          <w:szCs w:val="22"/>
          <w:lang w:val="el-GR" w:eastAsia="en-US"/>
        </w:rPr>
      </w:pPr>
      <w:r w:rsidRPr="00C7638C">
        <w:rPr>
          <w:rFonts w:eastAsia="Calibri"/>
          <w:b/>
          <w:bCs/>
          <w:color w:val="000000"/>
          <w:szCs w:val="22"/>
          <w:lang w:val="el-GR" w:eastAsia="en-US"/>
        </w:rPr>
        <w:t xml:space="preserve">ΤΜΗΜΑ 1. </w:t>
      </w:r>
      <w:proofErr w:type="spellStart"/>
      <w:r w:rsidRPr="00C7638C">
        <w:rPr>
          <w:rFonts w:eastAsia="Calibri"/>
          <w:b/>
          <w:bCs/>
          <w:color w:val="000000"/>
          <w:szCs w:val="22"/>
          <w:lang w:val="el-GR" w:eastAsia="en-US"/>
        </w:rPr>
        <w:t>Αλληλουχητής</w:t>
      </w:r>
      <w:proofErr w:type="spellEnd"/>
      <w:r w:rsidRPr="00C7638C">
        <w:rPr>
          <w:rFonts w:eastAsia="Calibri"/>
          <w:b/>
          <w:bCs/>
          <w:color w:val="000000"/>
          <w:szCs w:val="22"/>
          <w:lang w:val="el-GR" w:eastAsia="en-US"/>
        </w:rPr>
        <w:t xml:space="preserve"> Νέας Γενιάς (</w:t>
      </w:r>
      <w:r w:rsidRPr="00C7638C">
        <w:rPr>
          <w:rFonts w:eastAsia="Calibri"/>
          <w:b/>
          <w:bCs/>
          <w:color w:val="000000"/>
          <w:szCs w:val="22"/>
          <w:lang w:val="en-US" w:eastAsia="en-US"/>
        </w:rPr>
        <w:t>Next</w:t>
      </w:r>
      <w:r w:rsidRPr="00C7638C">
        <w:rPr>
          <w:rFonts w:eastAsia="Calibri"/>
          <w:b/>
          <w:bCs/>
          <w:color w:val="000000"/>
          <w:szCs w:val="22"/>
          <w:lang w:val="el-GR" w:eastAsia="en-US"/>
        </w:rPr>
        <w:t xml:space="preserve"> </w:t>
      </w:r>
      <w:r w:rsidRPr="00C7638C">
        <w:rPr>
          <w:rFonts w:eastAsia="Calibri"/>
          <w:b/>
          <w:bCs/>
          <w:color w:val="000000"/>
          <w:szCs w:val="22"/>
          <w:lang w:val="en-US" w:eastAsia="en-US"/>
        </w:rPr>
        <w:t>Generation</w:t>
      </w:r>
      <w:r w:rsidRPr="00C7638C">
        <w:rPr>
          <w:rFonts w:eastAsia="Calibri"/>
          <w:b/>
          <w:bCs/>
          <w:color w:val="000000"/>
          <w:szCs w:val="22"/>
          <w:lang w:val="el-GR" w:eastAsia="en-US"/>
        </w:rPr>
        <w:t xml:space="preserve"> </w:t>
      </w:r>
      <w:r w:rsidRPr="00C7638C">
        <w:rPr>
          <w:rFonts w:eastAsia="Calibri"/>
          <w:b/>
          <w:bCs/>
          <w:color w:val="000000"/>
          <w:szCs w:val="22"/>
          <w:lang w:val="en-US" w:eastAsia="en-US"/>
        </w:rPr>
        <w:t>Sequencer</w:t>
      </w:r>
      <w:r w:rsidRPr="00C7638C">
        <w:rPr>
          <w:rFonts w:eastAsia="Calibri"/>
          <w:b/>
          <w:bCs/>
          <w:color w:val="000000"/>
          <w:szCs w:val="22"/>
          <w:lang w:val="el-GR" w:eastAsia="en-US"/>
        </w:rPr>
        <w:t>)</w:t>
      </w:r>
      <w:r w:rsidRPr="00C7638C">
        <w:rPr>
          <w:rFonts w:eastAsia="Calibri"/>
          <w:b/>
          <w:color w:val="000000"/>
          <w:szCs w:val="22"/>
          <w:lang w:val="el-GR" w:eastAsia="en-US"/>
        </w:rPr>
        <w:t xml:space="preserve"> </w:t>
      </w:r>
      <w:r w:rsidRPr="00C7638C">
        <w:rPr>
          <w:rFonts w:eastAsia="Calibri" w:cs="Times New Roman"/>
          <w:b/>
          <w:bCs/>
          <w:szCs w:val="22"/>
          <w:lang w:val="el-GR" w:eastAsia="en-US"/>
        </w:rPr>
        <w:t xml:space="preserve">για τη μελέτη ολόκληρων </w:t>
      </w:r>
      <w:proofErr w:type="spellStart"/>
      <w:r w:rsidRPr="00C7638C">
        <w:rPr>
          <w:rFonts w:eastAsia="Calibri" w:cs="Times New Roman"/>
          <w:b/>
          <w:bCs/>
          <w:szCs w:val="22"/>
          <w:lang w:val="el-GR" w:eastAsia="en-US"/>
        </w:rPr>
        <w:t>γενωμάτων</w:t>
      </w:r>
      <w:proofErr w:type="spellEnd"/>
      <w:r w:rsidRPr="00C7638C">
        <w:rPr>
          <w:rFonts w:eastAsia="Calibri" w:cs="Times New Roman"/>
          <w:b/>
          <w:bCs/>
          <w:szCs w:val="22"/>
          <w:lang w:val="el-GR" w:eastAsia="en-US"/>
        </w:rPr>
        <w:t xml:space="preserve"> (</w:t>
      </w:r>
      <w:r w:rsidRPr="00C7638C">
        <w:rPr>
          <w:rFonts w:eastAsia="Calibri" w:cs="Times New Roman"/>
          <w:b/>
          <w:bCs/>
          <w:szCs w:val="22"/>
          <w:lang w:val="en-US" w:eastAsia="en-US"/>
        </w:rPr>
        <w:t>Whole</w:t>
      </w:r>
      <w:r w:rsidRPr="00C7638C">
        <w:rPr>
          <w:rFonts w:eastAsia="Calibri" w:cs="Times New Roman"/>
          <w:b/>
          <w:bCs/>
          <w:szCs w:val="22"/>
          <w:lang w:val="el-GR" w:eastAsia="en-US"/>
        </w:rPr>
        <w:t>-</w:t>
      </w:r>
      <w:r w:rsidRPr="00C7638C">
        <w:rPr>
          <w:rFonts w:eastAsia="Calibri" w:cs="Times New Roman"/>
          <w:b/>
          <w:bCs/>
          <w:szCs w:val="22"/>
          <w:lang w:val="en-US" w:eastAsia="en-US"/>
        </w:rPr>
        <w:t>genome</w:t>
      </w:r>
      <w:r w:rsidRPr="00C7638C">
        <w:rPr>
          <w:rFonts w:eastAsia="Calibri" w:cs="Times New Roman"/>
          <w:b/>
          <w:bCs/>
          <w:szCs w:val="22"/>
          <w:lang w:val="el-GR" w:eastAsia="en-US"/>
        </w:rPr>
        <w:t xml:space="preserve"> </w:t>
      </w:r>
      <w:r w:rsidRPr="00C7638C">
        <w:rPr>
          <w:rFonts w:eastAsia="Calibri" w:cs="Times New Roman"/>
          <w:b/>
          <w:bCs/>
          <w:szCs w:val="22"/>
          <w:lang w:val="en-US" w:eastAsia="en-US"/>
        </w:rPr>
        <w:t>Resequencing</w:t>
      </w:r>
      <w:r w:rsidRPr="00C7638C">
        <w:rPr>
          <w:rFonts w:eastAsia="Calibri" w:cs="Times New Roman"/>
          <w:b/>
          <w:bCs/>
          <w:szCs w:val="22"/>
          <w:lang w:val="el-GR" w:eastAsia="en-US"/>
        </w:rPr>
        <w:t xml:space="preserve">), </w:t>
      </w:r>
      <w:proofErr w:type="spellStart"/>
      <w:r w:rsidRPr="00C7638C">
        <w:rPr>
          <w:rFonts w:eastAsia="Calibri" w:cs="Times New Roman"/>
          <w:b/>
          <w:bCs/>
          <w:szCs w:val="22"/>
          <w:lang w:val="el-GR" w:eastAsia="en-US"/>
        </w:rPr>
        <w:t>μεταγραφωμάτων</w:t>
      </w:r>
      <w:proofErr w:type="spellEnd"/>
      <w:r w:rsidRPr="00C7638C">
        <w:rPr>
          <w:rFonts w:eastAsia="Calibri" w:cs="Times New Roman"/>
          <w:b/>
          <w:bCs/>
          <w:szCs w:val="22"/>
          <w:lang w:val="el-GR" w:eastAsia="en-US"/>
        </w:rPr>
        <w:t xml:space="preserve"> (</w:t>
      </w:r>
      <w:r w:rsidRPr="00C7638C">
        <w:rPr>
          <w:rFonts w:eastAsia="Calibri" w:cs="Times New Roman"/>
          <w:b/>
          <w:bCs/>
          <w:szCs w:val="22"/>
          <w:lang w:val="en-US" w:eastAsia="en-US"/>
        </w:rPr>
        <w:t>transcriptome</w:t>
      </w:r>
      <w:r w:rsidRPr="00C7638C">
        <w:rPr>
          <w:rFonts w:eastAsia="Calibri" w:cs="Times New Roman"/>
          <w:b/>
          <w:bCs/>
          <w:szCs w:val="22"/>
          <w:lang w:val="el-GR" w:eastAsia="en-US"/>
        </w:rPr>
        <w:t xml:space="preserve"> </w:t>
      </w:r>
      <w:r w:rsidRPr="00C7638C">
        <w:rPr>
          <w:rFonts w:eastAsia="Calibri" w:cs="Times New Roman"/>
          <w:b/>
          <w:bCs/>
          <w:szCs w:val="22"/>
          <w:lang w:val="en-US" w:eastAsia="en-US"/>
        </w:rPr>
        <w:t>sequencing</w:t>
      </w:r>
      <w:r w:rsidRPr="00C7638C">
        <w:rPr>
          <w:rFonts w:eastAsia="Calibri" w:cs="Times New Roman"/>
          <w:b/>
          <w:bCs/>
          <w:szCs w:val="22"/>
          <w:lang w:val="el-GR" w:eastAsia="en-US"/>
        </w:rPr>
        <w:t xml:space="preserve">) και τη </w:t>
      </w:r>
      <w:proofErr w:type="spellStart"/>
      <w:r w:rsidRPr="00C7638C">
        <w:rPr>
          <w:rFonts w:eastAsia="Calibri" w:cs="Times New Roman"/>
          <w:b/>
          <w:bCs/>
          <w:szCs w:val="22"/>
          <w:lang w:val="el-GR" w:eastAsia="en-US"/>
        </w:rPr>
        <w:t>στοχευμένη</w:t>
      </w:r>
      <w:proofErr w:type="spellEnd"/>
      <w:r w:rsidRPr="00C7638C">
        <w:rPr>
          <w:rFonts w:eastAsia="Calibri" w:cs="Times New Roman"/>
          <w:b/>
          <w:bCs/>
          <w:szCs w:val="22"/>
          <w:lang w:val="el-GR" w:eastAsia="en-US"/>
        </w:rPr>
        <w:t xml:space="preserve"> </w:t>
      </w:r>
      <w:proofErr w:type="spellStart"/>
      <w:r w:rsidRPr="00C7638C">
        <w:rPr>
          <w:rFonts w:eastAsia="Calibri" w:cs="Times New Roman"/>
          <w:b/>
          <w:bCs/>
          <w:szCs w:val="22"/>
          <w:lang w:val="el-GR" w:eastAsia="en-US"/>
        </w:rPr>
        <w:t>αλληλούχηση</w:t>
      </w:r>
      <w:proofErr w:type="spellEnd"/>
      <w:r w:rsidRPr="00C7638C">
        <w:rPr>
          <w:rFonts w:eastAsia="Calibri" w:cs="Times New Roman"/>
          <w:b/>
          <w:bCs/>
          <w:szCs w:val="22"/>
          <w:lang w:val="el-GR" w:eastAsia="en-US"/>
        </w:rPr>
        <w:t xml:space="preserve"> περιοχών ενδιαφέροντος (</w:t>
      </w:r>
      <w:r w:rsidRPr="00C7638C">
        <w:rPr>
          <w:rFonts w:eastAsia="Calibri" w:cs="Times New Roman"/>
          <w:b/>
          <w:bCs/>
          <w:szCs w:val="22"/>
          <w:lang w:val="en-US" w:eastAsia="en-US"/>
        </w:rPr>
        <w:t>human</w:t>
      </w:r>
      <w:r w:rsidRPr="00C7638C">
        <w:rPr>
          <w:rFonts w:eastAsia="Calibri" w:cs="Times New Roman"/>
          <w:b/>
          <w:bCs/>
          <w:szCs w:val="22"/>
          <w:lang w:val="el-GR" w:eastAsia="en-US"/>
        </w:rPr>
        <w:t xml:space="preserve"> </w:t>
      </w:r>
      <w:r w:rsidRPr="00C7638C">
        <w:rPr>
          <w:rFonts w:eastAsia="Calibri" w:cs="Times New Roman"/>
          <w:b/>
          <w:bCs/>
          <w:szCs w:val="22"/>
          <w:lang w:val="en-US" w:eastAsia="en-US"/>
        </w:rPr>
        <w:t>exome</w:t>
      </w:r>
      <w:r w:rsidRPr="00C7638C">
        <w:rPr>
          <w:rFonts w:eastAsia="Calibri" w:cs="Times New Roman"/>
          <w:b/>
          <w:bCs/>
          <w:szCs w:val="22"/>
          <w:lang w:val="el-GR" w:eastAsia="en-US"/>
        </w:rPr>
        <w:t xml:space="preserve">, </w:t>
      </w:r>
      <w:r w:rsidRPr="00C7638C">
        <w:rPr>
          <w:rFonts w:eastAsia="Calibri" w:cs="Times New Roman"/>
          <w:b/>
          <w:bCs/>
          <w:szCs w:val="22"/>
          <w:lang w:val="en-US" w:eastAsia="en-US"/>
        </w:rPr>
        <w:t>cancer</w:t>
      </w:r>
      <w:r w:rsidRPr="00C7638C">
        <w:rPr>
          <w:rFonts w:eastAsia="Calibri" w:cs="Times New Roman"/>
          <w:b/>
          <w:bCs/>
          <w:szCs w:val="22"/>
          <w:lang w:val="el-GR" w:eastAsia="en-US"/>
        </w:rPr>
        <w:t xml:space="preserve"> </w:t>
      </w:r>
      <w:r w:rsidRPr="00C7638C">
        <w:rPr>
          <w:rFonts w:eastAsia="Calibri" w:cs="Times New Roman"/>
          <w:b/>
          <w:bCs/>
          <w:szCs w:val="22"/>
          <w:lang w:val="en-US" w:eastAsia="en-US"/>
        </w:rPr>
        <w:t>panels</w:t>
      </w:r>
      <w:r w:rsidRPr="00C7638C">
        <w:rPr>
          <w:rFonts w:eastAsia="Calibri" w:cs="Times New Roman"/>
          <w:b/>
          <w:bCs/>
          <w:szCs w:val="22"/>
          <w:lang w:val="el-GR" w:eastAsia="en-US"/>
        </w:rPr>
        <w:t xml:space="preserve">, </w:t>
      </w:r>
      <w:r w:rsidRPr="00C7638C">
        <w:rPr>
          <w:rFonts w:eastAsia="Calibri" w:cs="Times New Roman"/>
          <w:b/>
          <w:bCs/>
          <w:szCs w:val="22"/>
          <w:lang w:val="en-US" w:eastAsia="en-US"/>
        </w:rPr>
        <w:t>custom</w:t>
      </w:r>
      <w:r w:rsidRPr="00C7638C">
        <w:rPr>
          <w:rFonts w:eastAsia="Calibri" w:cs="Times New Roman"/>
          <w:b/>
          <w:bCs/>
          <w:szCs w:val="22"/>
          <w:lang w:val="el-GR" w:eastAsia="en-US"/>
        </w:rPr>
        <w:t xml:space="preserve"> </w:t>
      </w:r>
      <w:r w:rsidRPr="00C7638C">
        <w:rPr>
          <w:rFonts w:eastAsia="Calibri" w:cs="Times New Roman"/>
          <w:b/>
          <w:bCs/>
          <w:szCs w:val="22"/>
          <w:lang w:val="en-US" w:eastAsia="en-US"/>
        </w:rPr>
        <w:t>enrichment</w:t>
      </w:r>
      <w:r w:rsidRPr="00C7638C">
        <w:rPr>
          <w:rFonts w:eastAsia="Calibri" w:cs="Times New Roman"/>
          <w:b/>
          <w:bCs/>
          <w:szCs w:val="22"/>
          <w:lang w:val="el-GR" w:eastAsia="en-US"/>
        </w:rPr>
        <w:t xml:space="preserve">, </w:t>
      </w:r>
      <w:r w:rsidRPr="00C7638C">
        <w:rPr>
          <w:rFonts w:eastAsia="Calibri" w:cs="Times New Roman"/>
          <w:b/>
          <w:bCs/>
          <w:szCs w:val="22"/>
          <w:lang w:val="en-US" w:eastAsia="en-US"/>
        </w:rPr>
        <w:t>custom</w:t>
      </w:r>
      <w:r w:rsidRPr="00C7638C">
        <w:rPr>
          <w:rFonts w:eastAsia="Calibri" w:cs="Times New Roman"/>
          <w:b/>
          <w:bCs/>
          <w:szCs w:val="22"/>
          <w:lang w:val="el-GR" w:eastAsia="en-US"/>
        </w:rPr>
        <w:t xml:space="preserve"> </w:t>
      </w:r>
      <w:r w:rsidRPr="00C7638C">
        <w:rPr>
          <w:rFonts w:eastAsia="Calibri" w:cs="Times New Roman"/>
          <w:b/>
          <w:bCs/>
          <w:szCs w:val="22"/>
          <w:lang w:val="en-US" w:eastAsia="en-US"/>
        </w:rPr>
        <w:t>amplicon</w:t>
      </w:r>
      <w:r w:rsidRPr="00C7638C">
        <w:rPr>
          <w:rFonts w:eastAsia="Calibri" w:cs="Times New Roman"/>
          <w:b/>
          <w:bCs/>
          <w:szCs w:val="22"/>
          <w:lang w:val="el-GR" w:eastAsia="en-US"/>
        </w:rPr>
        <w:t xml:space="preserve">) </w:t>
      </w:r>
      <w:r w:rsidRPr="00C7638C">
        <w:rPr>
          <w:rFonts w:eastAsia="Calibri"/>
          <w:b/>
          <w:szCs w:val="22"/>
          <w:lang w:val="el-GR"/>
        </w:rPr>
        <w:t xml:space="preserve"> καθώς και τη μοριακή ανίχνευση και </w:t>
      </w:r>
      <w:proofErr w:type="spellStart"/>
      <w:r w:rsidRPr="00C7638C">
        <w:rPr>
          <w:rFonts w:eastAsia="Calibri"/>
          <w:b/>
          <w:szCs w:val="22"/>
          <w:lang w:val="el-GR"/>
        </w:rPr>
        <w:t>γονιδιωματική</w:t>
      </w:r>
      <w:proofErr w:type="spellEnd"/>
      <w:r w:rsidRPr="00C7638C">
        <w:rPr>
          <w:rFonts w:eastAsia="Calibri"/>
          <w:b/>
          <w:szCs w:val="22"/>
          <w:lang w:val="el-GR"/>
        </w:rPr>
        <w:t xml:space="preserve"> επιτήρηση</w:t>
      </w:r>
      <w:r w:rsidRPr="00C7638C">
        <w:rPr>
          <w:rFonts w:eastAsia="Calibri"/>
          <w:b/>
          <w:szCs w:val="22"/>
        </w:rPr>
        <w:t> </w:t>
      </w:r>
      <w:r w:rsidRPr="00C7638C">
        <w:rPr>
          <w:rFonts w:eastAsia="Calibri"/>
          <w:b/>
          <w:szCs w:val="22"/>
          <w:lang w:val="el-GR"/>
        </w:rPr>
        <w:t xml:space="preserve">νέων μεταλλάξεων του ιού </w:t>
      </w:r>
      <w:r w:rsidRPr="00C7638C">
        <w:rPr>
          <w:rFonts w:eastAsia="Calibri"/>
          <w:b/>
          <w:szCs w:val="22"/>
        </w:rPr>
        <w:t>SARS</w:t>
      </w:r>
      <w:r w:rsidRPr="00C7638C">
        <w:rPr>
          <w:rFonts w:eastAsia="Calibri"/>
          <w:b/>
          <w:szCs w:val="22"/>
          <w:lang w:val="el-GR"/>
        </w:rPr>
        <w:t>-</w:t>
      </w:r>
      <w:proofErr w:type="spellStart"/>
      <w:r w:rsidRPr="00C7638C">
        <w:rPr>
          <w:rFonts w:eastAsia="Calibri"/>
          <w:b/>
          <w:szCs w:val="22"/>
        </w:rPr>
        <w:t>CoV</w:t>
      </w:r>
      <w:proofErr w:type="spellEnd"/>
      <w:r w:rsidRPr="00C7638C">
        <w:rPr>
          <w:rFonts w:eastAsia="Calibri"/>
          <w:b/>
          <w:szCs w:val="22"/>
          <w:lang w:val="el-GR"/>
        </w:rPr>
        <w:t>-2.</w:t>
      </w:r>
      <w:r w:rsidRPr="00C7638C">
        <w:rPr>
          <w:b/>
          <w:color w:val="000000"/>
          <w:szCs w:val="22"/>
          <w:shd w:val="clear" w:color="auto" w:fill="FFFFFF"/>
        </w:rPr>
        <w:t> </w:t>
      </w:r>
    </w:p>
    <w:p w:rsidR="00193883" w:rsidRDefault="00193883" w:rsidP="00193883">
      <w:pPr>
        <w:suppressAutoHyphens w:val="0"/>
        <w:autoSpaceDE w:val="0"/>
        <w:rPr>
          <w:rFonts w:eastAsia="SimSun"/>
          <w:sz w:val="24"/>
          <w:lang w:val="el-G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8"/>
        <w:gridCol w:w="5010"/>
        <w:gridCol w:w="606"/>
        <w:gridCol w:w="586"/>
        <w:gridCol w:w="1496"/>
      </w:tblGrid>
      <w:tr w:rsidR="00193883" w:rsidRPr="00C40EFD" w:rsidTr="00722B11"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</w:pPr>
            <w:r w:rsidRPr="00C7638C"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  <w:t xml:space="preserve">Α/Α </w:t>
            </w:r>
          </w:p>
        </w:tc>
        <w:tc>
          <w:tcPr>
            <w:tcW w:w="3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</w:pPr>
            <w:r w:rsidRPr="00C7638C"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  <w:t>ΤΕΧΝΙΚΕΣ ΠΡΟΔΙΑΓΡΑΦΕΣ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</w:pPr>
            <w:r w:rsidRPr="00C7638C"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  <w:t>ΑΠΑΙΤΗΣΗ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</w:pPr>
            <w:r w:rsidRPr="00C7638C"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  <w:t>ΠΑΡΑΠΟΜΠΗ</w:t>
            </w:r>
          </w:p>
        </w:tc>
      </w:tr>
      <w:tr w:rsidR="00193883" w:rsidRPr="00C40EFD" w:rsidTr="00722B11"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  <w:t xml:space="preserve">ΝΑΙ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  <w:t xml:space="preserve">ΟΧΙ 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 w:cs="Times New Roman"/>
                <w:szCs w:val="22"/>
                <w:lang w:val="el-GR" w:eastAsia="en-US"/>
              </w:rPr>
              <w:t>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Να είναι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αλληλουχητής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νέας γενιάς (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Next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Generation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Sequencer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).</w:t>
            </w:r>
          </w:p>
        </w:tc>
        <w:tc>
          <w:tcPr>
            <w:tcW w:w="381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 w:cs="Times New Roman"/>
                <w:szCs w:val="22"/>
                <w:lang w:val="el-GR" w:eastAsia="en-US"/>
              </w:rPr>
              <w:t>2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Το σύστημα να είναι αυτοματοποιημένο και να απαιτείται η όσο το δυνατόν μικρότερη παρέμβαση του χρήστη.</w:t>
            </w:r>
          </w:p>
        </w:tc>
        <w:tc>
          <w:tcPr>
            <w:tcW w:w="381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 w:cs="Times New Roman"/>
                <w:szCs w:val="22"/>
                <w:lang w:val="el-GR" w:eastAsia="en-US"/>
              </w:rPr>
              <w:t>3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Να μπορεί να ολοκληρώνει τη διαδικασία από το δείγμα στην άμεση αναφορά των αποτελεσμάτων σε όσο το δυνατό λιγότερο χρόνο.</w:t>
            </w:r>
          </w:p>
        </w:tc>
        <w:tc>
          <w:tcPr>
            <w:tcW w:w="381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 w:cs="Times New Roman"/>
                <w:szCs w:val="22"/>
                <w:lang w:val="el-GR" w:eastAsia="en-US"/>
              </w:rPr>
              <w:t>4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Να ολοκληρώνεται η διαδικασία της ενίσχυσης του δείγματος και της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αλληλούχησης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στο ίδιο όργανο ώστε να είναι όσο το δυνατό αυτοματοποιημένη η διαδικασία.</w:t>
            </w:r>
          </w:p>
        </w:tc>
        <w:tc>
          <w:tcPr>
            <w:tcW w:w="381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 w:cs="Times New Roman"/>
                <w:szCs w:val="22"/>
                <w:lang w:val="el-GR" w:eastAsia="en-US"/>
              </w:rPr>
              <w:t>5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Να επιτρέπεται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αλληλούχηση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δύο κατευθύνσεων (αρχική και συμπληρωματική αλυσίδα) στο ίδιο όργανο σε κάθε εκτέλεση (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run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) χωρίς να απαιτείται παρέμβαση από το χρήστη.</w:t>
            </w:r>
          </w:p>
        </w:tc>
        <w:tc>
          <w:tcPr>
            <w:tcW w:w="381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 w:cs="Times New Roman"/>
                <w:szCs w:val="22"/>
                <w:lang w:val="el-GR" w:eastAsia="en-US"/>
              </w:rPr>
              <w:t>6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Να είναι δυνατή η επιλογή του μήκους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αλληλούχησης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και κατ’ επέκταση της τελικής απόδοσης του συστήματος ανάλογα με την επιθυμία του χρήστη.</w:t>
            </w:r>
          </w:p>
        </w:tc>
        <w:tc>
          <w:tcPr>
            <w:tcW w:w="381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 w:cs="Times New Roman"/>
                <w:szCs w:val="22"/>
                <w:lang w:val="el-GR" w:eastAsia="en-US"/>
              </w:rPr>
              <w:t>7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Να παρέχει τη δυνατότητα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αλληλούχησης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τμημάτων μήκους έως και 300 βάσεων.</w:t>
            </w:r>
          </w:p>
        </w:tc>
        <w:tc>
          <w:tcPr>
            <w:tcW w:w="381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8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l-GR" w:eastAsia="el-GR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l-GR"/>
              </w:rPr>
              <w:t xml:space="preserve">Να επιτρέπει την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l-GR"/>
              </w:rPr>
              <w:t>αλληλούχηση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l-GR"/>
              </w:rPr>
              <w:t xml:space="preserve"> και μικρότερου αριθμού δειγμάτων ανά εκτέλεση με τη χρήση διαφορετικών κατάλληλων αντιδραστηρίων, ώστε να εξασφαλίζεται οικονομία κλίμακας και να δύναται να πραγματοποιήσει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l-GR"/>
              </w:rPr>
              <w:t>αλληλούχηση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l-GR"/>
              </w:rPr>
              <w:t xml:space="preserve"> ακόμα και 50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n-US" w:eastAsia="el-GR"/>
              </w:rPr>
              <w:t>bp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l-GR"/>
              </w:rPr>
              <w:t xml:space="preserve"> (2 </w:t>
            </w:r>
            <w:r w:rsidRPr="00C7638C">
              <w:rPr>
                <w:rFonts w:eastAsia="Calibri"/>
                <w:color w:val="000000"/>
                <w:szCs w:val="22"/>
                <w:lang w:val="en-US" w:eastAsia="el-GR"/>
              </w:rPr>
              <w:t>x</w:t>
            </w:r>
            <w:r w:rsidRPr="00C7638C">
              <w:rPr>
                <w:rFonts w:eastAsia="Calibri"/>
                <w:color w:val="000000"/>
                <w:szCs w:val="22"/>
                <w:lang w:val="el-GR" w:eastAsia="el-GR"/>
              </w:rPr>
              <w:t xml:space="preserve"> 25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n-US" w:eastAsia="el-GR"/>
              </w:rPr>
              <w:t>bp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l-GR"/>
              </w:rPr>
              <w:t xml:space="preserve"> σε διπλή κατεύθυνση) σε λιγότερο από 12 ώρες.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rPr>
          <w:trHeight w:val="11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9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l-GR" w:eastAsia="el-GR"/>
              </w:rPr>
            </w:pPr>
            <w:r w:rsidRPr="00C7638C">
              <w:rPr>
                <w:rFonts w:eastAsia="Calibri"/>
                <w:szCs w:val="22"/>
                <w:lang w:val="el-GR" w:eastAsia="en-US"/>
              </w:rPr>
              <w:t>Να εξασφαλίζει αποτελέσματα υψηλής ποιότητας και ακρίβειας. Η πιθανότητα ορθής ανάγνωσης μίας βάσης (</w:t>
            </w:r>
            <w:r w:rsidRPr="00C7638C">
              <w:rPr>
                <w:rFonts w:eastAsia="Calibri"/>
                <w:szCs w:val="22"/>
                <w:lang w:val="en-US" w:eastAsia="en-US"/>
              </w:rPr>
              <w:t>base</w:t>
            </w:r>
            <w:r w:rsidRPr="00C7638C">
              <w:rPr>
                <w:rFonts w:eastAsia="Calibri"/>
                <w:szCs w:val="22"/>
                <w:lang w:val="el-GR" w:eastAsia="en-US"/>
              </w:rPr>
              <w:t xml:space="preserve"> </w:t>
            </w:r>
            <w:r w:rsidRPr="00C7638C">
              <w:rPr>
                <w:rFonts w:eastAsia="Calibri"/>
                <w:szCs w:val="22"/>
                <w:lang w:val="en-US" w:eastAsia="en-US"/>
              </w:rPr>
              <w:t>calling</w:t>
            </w:r>
            <w:r w:rsidRPr="00C7638C">
              <w:rPr>
                <w:rFonts w:eastAsia="Calibri"/>
                <w:szCs w:val="22"/>
                <w:lang w:val="el-GR" w:eastAsia="en-US"/>
              </w:rPr>
              <w:t xml:space="preserve"> </w:t>
            </w:r>
            <w:r w:rsidRPr="00C7638C">
              <w:rPr>
                <w:rFonts w:eastAsia="Calibri"/>
                <w:szCs w:val="22"/>
                <w:lang w:val="en-US" w:eastAsia="en-US"/>
              </w:rPr>
              <w:t>accuracy</w:t>
            </w:r>
            <w:r w:rsidRPr="00C7638C">
              <w:rPr>
                <w:rFonts w:eastAsia="Calibri"/>
                <w:szCs w:val="22"/>
                <w:lang w:val="el-GR" w:eastAsia="en-US"/>
              </w:rPr>
              <w:t>) να είναι 99,9 % για &gt;85% των προς ανάγνωση αλληλουχιών  για διαβάσματα 2</w:t>
            </w:r>
            <w:r w:rsidRPr="00C7638C">
              <w:rPr>
                <w:rFonts w:eastAsia="Calibri"/>
                <w:szCs w:val="22"/>
                <w:lang w:val="en-US" w:eastAsia="en-US"/>
              </w:rPr>
              <w:t>x</w:t>
            </w:r>
            <w:r w:rsidRPr="00C7638C">
              <w:rPr>
                <w:rFonts w:eastAsia="Calibri"/>
                <w:szCs w:val="22"/>
                <w:lang w:val="el-GR" w:eastAsia="en-US"/>
              </w:rPr>
              <w:t>25</w:t>
            </w:r>
            <w:proofErr w:type="spellStart"/>
            <w:r w:rsidRPr="00C7638C">
              <w:rPr>
                <w:rFonts w:eastAsia="Calibri"/>
                <w:szCs w:val="22"/>
                <w:lang w:val="en-US" w:eastAsia="en-US"/>
              </w:rPr>
              <w:t>bp</w:t>
            </w:r>
            <w:proofErr w:type="spellEnd"/>
            <w:r w:rsidRPr="00C7638C">
              <w:rPr>
                <w:rFonts w:eastAsia="Calibri"/>
                <w:szCs w:val="22"/>
                <w:lang w:val="el-GR" w:eastAsia="en-US"/>
              </w:rPr>
              <w:t xml:space="preserve"> ή 2</w:t>
            </w:r>
            <w:r w:rsidRPr="00C7638C">
              <w:rPr>
                <w:rFonts w:eastAsia="Calibri"/>
                <w:szCs w:val="22"/>
                <w:lang w:val="en-US" w:eastAsia="en-US"/>
              </w:rPr>
              <w:t>x</w:t>
            </w:r>
            <w:r w:rsidRPr="00C7638C">
              <w:rPr>
                <w:rFonts w:eastAsia="Calibri"/>
                <w:szCs w:val="22"/>
                <w:lang w:val="el-GR" w:eastAsia="en-US"/>
              </w:rPr>
              <w:t>50</w:t>
            </w:r>
            <w:proofErr w:type="spellStart"/>
            <w:r w:rsidRPr="00C7638C">
              <w:rPr>
                <w:rFonts w:eastAsia="Calibri"/>
                <w:szCs w:val="22"/>
                <w:lang w:val="en-US" w:eastAsia="en-US"/>
              </w:rPr>
              <w:t>bp</w:t>
            </w:r>
            <w:proofErr w:type="spellEnd"/>
            <w:r w:rsidRPr="00C7638C">
              <w:rPr>
                <w:rFonts w:eastAsia="Calibri"/>
                <w:szCs w:val="22"/>
                <w:lang w:val="el-GR" w:eastAsia="en-US"/>
              </w:rPr>
              <w:t>, ή &gt;80% για διαβάσματα 2</w:t>
            </w:r>
            <w:r w:rsidRPr="00C7638C">
              <w:rPr>
                <w:rFonts w:eastAsia="Calibri"/>
                <w:szCs w:val="22"/>
                <w:lang w:val="en-US" w:eastAsia="en-US"/>
              </w:rPr>
              <w:t>x</w:t>
            </w:r>
            <w:r w:rsidRPr="00C7638C">
              <w:rPr>
                <w:rFonts w:eastAsia="Calibri"/>
                <w:szCs w:val="22"/>
                <w:lang w:val="el-GR" w:eastAsia="en-US"/>
              </w:rPr>
              <w:t>100</w:t>
            </w:r>
            <w:proofErr w:type="spellStart"/>
            <w:r w:rsidRPr="00C7638C">
              <w:rPr>
                <w:rFonts w:eastAsia="Calibri"/>
                <w:szCs w:val="22"/>
                <w:lang w:val="en-US" w:eastAsia="en-US"/>
              </w:rPr>
              <w:t>bp</w:t>
            </w:r>
            <w:proofErr w:type="spellEnd"/>
            <w:r w:rsidRPr="00C7638C">
              <w:rPr>
                <w:rFonts w:eastAsia="Calibri"/>
                <w:szCs w:val="22"/>
                <w:lang w:val="el-GR" w:eastAsia="en-US"/>
              </w:rPr>
              <w:t xml:space="preserve">, </w:t>
            </w:r>
            <w:r w:rsidRPr="00C7638C">
              <w:rPr>
                <w:rFonts w:eastAsia="Calibri"/>
                <w:szCs w:val="22"/>
                <w:lang w:val="el-GR" w:eastAsia="en-US"/>
              </w:rPr>
              <w:lastRenderedPageBreak/>
              <w:t>ώστε να αποφεύγονται λανθασμένα αποτελέσματα και επαναλήψεις.</w:t>
            </w:r>
          </w:p>
        </w:tc>
        <w:tc>
          <w:tcPr>
            <w:tcW w:w="381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lastRenderedPageBreak/>
              <w:t>10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Να αποδίδει τουλάχιστον 1 δισεκατομμύριο 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reads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σε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αλληλουχήσεις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διπλής κατεύθυνσης ανά εκτέλεση (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run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).</w:t>
            </w:r>
          </w:p>
        </w:tc>
        <w:tc>
          <w:tcPr>
            <w:tcW w:w="381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l-GR" w:eastAsia="en-US"/>
              </w:rPr>
              <w:t>1</w:t>
            </w:r>
            <w:r w:rsidRPr="00C7638C">
              <w:rPr>
                <w:rFonts w:eastAsia="Calibri" w:cs="Times New Roman"/>
                <w:szCs w:val="22"/>
                <w:lang w:val="en-US" w:eastAsia="en-US"/>
              </w:rPr>
              <w:t>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Να έχει την ικανότητα παραγωγής έως 300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Gb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δεδομένων ανά εκτέλεση.</w:t>
            </w:r>
          </w:p>
        </w:tc>
        <w:tc>
          <w:tcPr>
            <w:tcW w:w="381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l-GR" w:eastAsia="en-US"/>
              </w:rPr>
              <w:t>1</w:t>
            </w:r>
            <w:r w:rsidRPr="00C7638C">
              <w:rPr>
                <w:rFonts w:eastAsia="Calibri" w:cs="Times New Roman"/>
                <w:szCs w:val="22"/>
                <w:lang w:val="en-US" w:eastAsia="en-US"/>
              </w:rPr>
              <w:t>2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Να είναι δυνατή η επιλογή του μήκους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αλληλούχησης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και κατ’ επέκταση της τελικής απόδοσης του συστήματος ανάλογα με την επιθυμία του χρήστη.</w:t>
            </w:r>
          </w:p>
        </w:tc>
        <w:tc>
          <w:tcPr>
            <w:tcW w:w="381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13</w:t>
            </w:r>
          </w:p>
        </w:tc>
        <w:tc>
          <w:tcPr>
            <w:tcW w:w="3035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  <w:r w:rsidRPr="00C7638C">
              <w:rPr>
                <w:rFonts w:eastAsia="Calibri"/>
                <w:szCs w:val="22"/>
                <w:lang w:val="el-GR" w:eastAsia="en-US"/>
              </w:rPr>
              <w:t>Να διαθέτει ύψιστης ανάλυσης οπτικά, με αποτέλεσμα την απόδοση δεδομένων με εξαιρετική ακρίβεια και ποιότητα.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14</w:t>
            </w:r>
          </w:p>
        </w:tc>
        <w:tc>
          <w:tcPr>
            <w:tcW w:w="3035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  <w:r w:rsidRPr="00C7638C">
              <w:rPr>
                <w:rFonts w:eastAsia="Calibri"/>
                <w:szCs w:val="22"/>
                <w:lang w:val="el-GR" w:eastAsia="en-US"/>
              </w:rPr>
              <w:t xml:space="preserve">Η αραίωση και η </w:t>
            </w:r>
            <w:proofErr w:type="spellStart"/>
            <w:r w:rsidRPr="00C7638C">
              <w:rPr>
                <w:rFonts w:eastAsia="Calibri"/>
                <w:szCs w:val="22"/>
                <w:lang w:val="el-GR" w:eastAsia="en-US"/>
              </w:rPr>
              <w:t>αποδιάταξη</w:t>
            </w:r>
            <w:proofErr w:type="spellEnd"/>
            <w:r w:rsidRPr="00C7638C">
              <w:rPr>
                <w:rFonts w:eastAsia="Calibri"/>
                <w:szCs w:val="22"/>
                <w:lang w:val="el-GR" w:eastAsia="en-US"/>
              </w:rPr>
              <w:t xml:space="preserve"> της βιβλιοθήκης </w:t>
            </w:r>
            <w:r w:rsidRPr="00C7638C">
              <w:rPr>
                <w:rFonts w:eastAsia="Calibri"/>
                <w:szCs w:val="22"/>
                <w:lang w:eastAsia="en-US"/>
              </w:rPr>
              <w:t>NGS</w:t>
            </w:r>
            <w:r w:rsidRPr="00C7638C">
              <w:rPr>
                <w:rFonts w:eastAsia="Calibri"/>
                <w:szCs w:val="22"/>
                <w:lang w:val="el-GR" w:eastAsia="en-US"/>
              </w:rPr>
              <w:t xml:space="preserve"> να μπορούν να πραγματοποιηθούν εντός του συστήματος αυτόματα, χωρίς την παρέμβαση του χειριστή, για αποφυγή του ανθρώπινου λάθους και μεγιστοποίηση της ακρίβειας.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15</w:t>
            </w:r>
          </w:p>
        </w:tc>
        <w:tc>
          <w:tcPr>
            <w:tcW w:w="3035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Να επιτρέπει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αλληλούχηση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πολλών δειγμάτων ταυτόχρονα σε εφαρμογές υψηλής πολυπλεξίας (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highly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multiplexing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).</w:t>
            </w:r>
          </w:p>
        </w:tc>
        <w:tc>
          <w:tcPr>
            <w:tcW w:w="381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16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color w:val="0F0F0F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F0F0F"/>
                <w:szCs w:val="22"/>
                <w:lang w:val="el-GR" w:eastAsia="en-US"/>
              </w:rPr>
              <w:t xml:space="preserve">Να στηρίζεται στην αποδεδειγμένη, σε παγκόσμιο επίπεδο, χημεία </w:t>
            </w:r>
            <w:proofErr w:type="spellStart"/>
            <w:r w:rsidRPr="00C7638C">
              <w:rPr>
                <w:rFonts w:eastAsia="Calibri"/>
                <w:color w:val="0F0F0F"/>
                <w:szCs w:val="22"/>
                <w:lang w:val="el-GR" w:eastAsia="en-US"/>
              </w:rPr>
              <w:t>Sequencing-By-Synthesis</w:t>
            </w:r>
            <w:proofErr w:type="spellEnd"/>
            <w:r w:rsidRPr="00C7638C">
              <w:rPr>
                <w:rFonts w:eastAsia="Calibri"/>
                <w:color w:val="0F0F0F"/>
                <w:szCs w:val="22"/>
                <w:lang w:val="el-GR" w:eastAsia="en-US"/>
              </w:rPr>
              <w:t xml:space="preserve"> (SBS), η οποία εξασφαλίζει τη μέγιστη δυνατή ακρίβεια και αποφυγή σφαλμάτων σε περιοχές DNA με </w:t>
            </w:r>
            <w:proofErr w:type="spellStart"/>
            <w:r w:rsidRPr="00C7638C">
              <w:rPr>
                <w:rFonts w:eastAsia="Calibri"/>
                <w:color w:val="0F0F0F"/>
                <w:szCs w:val="22"/>
                <w:lang w:val="el-GR" w:eastAsia="en-US"/>
              </w:rPr>
              <w:t>ομοπολυμερή</w:t>
            </w:r>
            <w:proofErr w:type="spellEnd"/>
            <w:r w:rsidRPr="00C7638C">
              <w:rPr>
                <w:rFonts w:eastAsia="Calibri"/>
                <w:color w:val="0F0F0F"/>
                <w:szCs w:val="22"/>
                <w:lang w:val="el-GR" w:eastAsia="en-US"/>
              </w:rPr>
              <w:t>.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l-GR" w:eastAsia="en-US"/>
              </w:rPr>
              <w:t>1</w:t>
            </w:r>
            <w:r w:rsidRPr="00C7638C">
              <w:rPr>
                <w:rFonts w:eastAsia="Calibri" w:cs="Times New Roman"/>
                <w:szCs w:val="22"/>
                <w:lang w:val="en-US" w:eastAsia="en-US"/>
              </w:rPr>
              <w:t>7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Κατά την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αλληλούχηση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να χρησιμοποιούνται ταυτόχρονα και τα τέσσερα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νουκλεοτίδια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(τέσσερις βάσεις) για την αποφυγή λαθών από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ομοπολυμερή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(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homopolymer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errors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).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18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Να διαθέτει λογισμικό ικανό να υπολογίζει και να ενημερώνει το χρήστη για την ποιότητα των αποτελεσμάτων.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19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l-GR" w:eastAsia="el-GR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l-GR"/>
              </w:rPr>
              <w:t xml:space="preserve">Να παρέχεται ποσοτικός προσδιορισμός της ποιότητας της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l-GR"/>
              </w:rPr>
              <w:t>αλληλούχησης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l-GR"/>
              </w:rPr>
              <w:t xml:space="preserve"> σε κάθε εκτέλεση (</w:t>
            </w:r>
            <w:r w:rsidRPr="00C7638C">
              <w:rPr>
                <w:rFonts w:eastAsia="Calibri"/>
                <w:color w:val="000000"/>
                <w:szCs w:val="22"/>
                <w:lang w:val="en-US" w:eastAsia="el-GR"/>
              </w:rPr>
              <w:t>run</w:t>
            </w:r>
            <w:r w:rsidRPr="00C7638C">
              <w:rPr>
                <w:rFonts w:eastAsia="Calibri"/>
                <w:color w:val="000000"/>
                <w:szCs w:val="22"/>
                <w:lang w:val="el-GR" w:eastAsia="el-GR"/>
              </w:rPr>
              <w:t>), μέσω του λογισμικού του συστήματος, ώστε να είναι εφικτή η μέγιστη δυνατή διασφάλιση ποιότητας των αποτελεσμάτων.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20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Να υπάρχει δυνατότητα να παρακολουθείται το σύστημα κατά της διάρκεια της εκτέλεσης από εξωτερικό υπολογιστή.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21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Να παρέχεται λογισμικό σχεδιασμού μελετών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στοχευμένης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αλληλούχησης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(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custom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amplicon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, 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custom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enrichment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).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22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before="60" w:after="60"/>
              <w:rPr>
                <w:rFonts w:eastAsia="Calibri"/>
                <w:szCs w:val="22"/>
                <w:lang w:val="el-GR" w:eastAsia="en-US"/>
              </w:rPr>
            </w:pPr>
            <w:r w:rsidRPr="00C7638C">
              <w:rPr>
                <w:rFonts w:eastAsia="Calibri"/>
                <w:szCs w:val="22"/>
                <w:lang w:val="el-GR" w:eastAsia="en-US"/>
              </w:rPr>
              <w:t xml:space="preserve">Να διαθέτει διαισθητική οθόνη αφής και να προσφέρει τη δυνατότητα ελέγχου των αντιδραστηρίων με </w:t>
            </w:r>
            <w:r w:rsidRPr="00C7638C">
              <w:rPr>
                <w:rFonts w:eastAsia="Calibri"/>
                <w:szCs w:val="22"/>
                <w:lang w:val="en-US" w:eastAsia="en-US"/>
              </w:rPr>
              <w:t>RFID</w:t>
            </w:r>
            <w:r w:rsidRPr="00C7638C">
              <w:rPr>
                <w:rFonts w:eastAsia="Calibri"/>
                <w:szCs w:val="22"/>
                <w:lang w:val="el-GR" w:eastAsia="en-US"/>
              </w:rPr>
              <w:t>.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lastRenderedPageBreak/>
              <w:t>23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  <w:r w:rsidRPr="00C7638C">
              <w:rPr>
                <w:rFonts w:eastAsia="Calibri"/>
                <w:szCs w:val="22"/>
                <w:lang w:val="el-GR" w:eastAsia="en-US"/>
              </w:rPr>
              <w:t xml:space="preserve">Τα αντιδραστήρια για την </w:t>
            </w:r>
            <w:proofErr w:type="spellStart"/>
            <w:r w:rsidRPr="00C7638C">
              <w:rPr>
                <w:rFonts w:eastAsia="Calibri"/>
                <w:szCs w:val="22"/>
                <w:lang w:val="el-GR" w:eastAsia="en-US"/>
              </w:rPr>
              <w:t>αλληλούχηση</w:t>
            </w:r>
            <w:proofErr w:type="spellEnd"/>
            <w:r w:rsidRPr="00C7638C">
              <w:rPr>
                <w:rFonts w:eastAsia="Calibri"/>
                <w:szCs w:val="22"/>
                <w:lang w:val="el-GR" w:eastAsia="en-US"/>
              </w:rPr>
              <w:t xml:space="preserve"> να είναι κατά το μέγιστο δυνατό προ-αναμεμειγμένα (υπό μορφή </w:t>
            </w:r>
            <w:r w:rsidRPr="00C7638C">
              <w:rPr>
                <w:rFonts w:eastAsia="Calibri"/>
                <w:szCs w:val="22"/>
                <w:lang w:val="en-US" w:eastAsia="en-US"/>
              </w:rPr>
              <w:t>cartridge</w:t>
            </w:r>
            <w:r w:rsidRPr="00C7638C">
              <w:rPr>
                <w:rFonts w:eastAsia="Calibri"/>
                <w:szCs w:val="22"/>
                <w:lang w:val="el-GR" w:eastAsia="en-US"/>
              </w:rPr>
              <w:t xml:space="preserve"> μιας χρήσης), ώστε να μειώνονται οι πιθανότητες λάθους από το χρήστη. Τα </w:t>
            </w:r>
            <w:r w:rsidRPr="00C7638C">
              <w:rPr>
                <w:rFonts w:eastAsia="Calibri"/>
                <w:szCs w:val="22"/>
                <w:lang w:val="en-US" w:eastAsia="en-US"/>
              </w:rPr>
              <w:t>cartridge</w:t>
            </w:r>
            <w:r w:rsidRPr="00C7638C">
              <w:rPr>
                <w:rFonts w:eastAsia="Calibri"/>
                <w:szCs w:val="22"/>
                <w:lang w:val="el-GR" w:eastAsia="en-US"/>
              </w:rPr>
              <w:t xml:space="preserve"> να περιλαμβάνουν ενσωματωμένα όλα τα απαραίτητα ρευστά (</w:t>
            </w:r>
            <w:r w:rsidRPr="00C7638C">
              <w:rPr>
                <w:rFonts w:eastAsia="Calibri"/>
                <w:szCs w:val="22"/>
                <w:lang w:val="en-US" w:eastAsia="en-US"/>
              </w:rPr>
              <w:t>fluidics</w:t>
            </w:r>
            <w:r w:rsidRPr="00C7638C">
              <w:rPr>
                <w:rFonts w:eastAsia="Calibri"/>
                <w:szCs w:val="22"/>
                <w:lang w:val="el-GR" w:eastAsia="en-US"/>
              </w:rPr>
              <w:t xml:space="preserve">) για τη λειτουργία του οργάνου, ώστε να ελαχιστοποιείται η πιθανότητα λάθους αλλά και επιμόλυνσης από κάθε προηγούμενο </w:t>
            </w:r>
            <w:r w:rsidRPr="00C7638C">
              <w:rPr>
                <w:rFonts w:eastAsia="Calibri"/>
                <w:szCs w:val="22"/>
                <w:lang w:val="en-US" w:eastAsia="en-US"/>
              </w:rPr>
              <w:t>run</w:t>
            </w:r>
            <w:r w:rsidRPr="00C7638C">
              <w:rPr>
                <w:rFonts w:eastAsia="Calibri"/>
                <w:szCs w:val="22"/>
                <w:lang w:val="el-GR" w:eastAsia="en-US"/>
              </w:rPr>
              <w:t>.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24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Τα δεδομένα να δύνανται να παράγονται σε τυποποιημένη μορφή, ώστε να επιτρέπεται η χρήση ποικίλων εργαλείων για την ανάλυσή τους (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FASTQ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).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25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Να υπάρχει η δυνατότητα αποθήκευσης των δεδομένων σε υπολογιστικό νέφος (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cloud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).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C40EFD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26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l-GR" w:eastAsia="el-GR"/>
              </w:rPr>
            </w:pPr>
            <w:r w:rsidRPr="00C7638C">
              <w:rPr>
                <w:rFonts w:eastAsia="Calibri"/>
                <w:color w:val="000000"/>
                <w:szCs w:val="22"/>
                <w:lang w:eastAsia="el-GR"/>
              </w:rPr>
              <w:t>H</w:t>
            </w:r>
            <w:r w:rsidRPr="00C7638C">
              <w:rPr>
                <w:rFonts w:eastAsia="Calibri"/>
                <w:color w:val="000000"/>
                <w:szCs w:val="22"/>
                <w:lang w:val="el-GR" w:eastAsia="el-GR"/>
              </w:rPr>
              <w:t xml:space="preserve"> χημεία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l-GR"/>
              </w:rPr>
              <w:t>αλληλούχησης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l-GR"/>
              </w:rPr>
              <w:t xml:space="preserve"> να υποστηρίζεται από πλήθος βιβλιογραφικών αναφορών σε έγκριτα διεθνή επιστημονικά περιοδικά. Να κατατεθεί σχετική βιβλιογραφία.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27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Να επιτρέπει τις παρακάτω εφαρμογές:</w:t>
            </w:r>
          </w:p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-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Αλληλούχηση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ολόκληρων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γενωμάτων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(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Whole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genome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Resequencing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)</w:t>
            </w:r>
          </w:p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n-US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 xml:space="preserve">-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Στοχευμένη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 xml:space="preserve"> α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λληλούχηση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 xml:space="preserve"> (Targeted Resequencing, Exome sequencing)</w:t>
            </w:r>
          </w:p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n-US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- Enrichment gene panels</w:t>
            </w:r>
          </w:p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n-US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- Amplicon Sequencing</w:t>
            </w:r>
          </w:p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n-US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 xml:space="preserve">-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Αλληλούχηση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εκ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νέου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 xml:space="preserve"> (De novo sequencing)</w:t>
            </w:r>
          </w:p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n-US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- Mate-pair sequencing</w:t>
            </w:r>
          </w:p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n-US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 xml:space="preserve">-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ChIP-Seq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 xml:space="preserve">: 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μελέτη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 xml:space="preserve"> 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αλληλεπίδρασης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 xml:space="preserve"> DNA 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με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 xml:space="preserve"> 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πρωτεΐνες</w:t>
            </w:r>
          </w:p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- Εφαρμογές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επιγενετικής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για μελέτες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μεθυλίωσης</w:t>
            </w:r>
            <w:proofErr w:type="spellEnd"/>
          </w:p>
          <w:p w:rsidR="00193883" w:rsidRPr="008A3773" w:rsidRDefault="00193883" w:rsidP="00722B11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l-GR" w:eastAsia="en-US"/>
              </w:rPr>
            </w:pPr>
            <w:r w:rsidRPr="008A3773">
              <w:rPr>
                <w:rFonts w:eastAsia="Calibri"/>
                <w:color w:val="000000"/>
                <w:szCs w:val="22"/>
                <w:lang w:val="el-GR" w:eastAsia="en-US"/>
              </w:rPr>
              <w:t xml:space="preserve">- 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mRNA</w:t>
            </w:r>
            <w:r w:rsidRPr="008A3773">
              <w:rPr>
                <w:rFonts w:eastAsia="Calibri"/>
                <w:color w:val="000000"/>
                <w:szCs w:val="22"/>
                <w:lang w:val="el-GR" w:eastAsia="en-US"/>
              </w:rPr>
              <w:t xml:space="preserve"> 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sequencing</w:t>
            </w:r>
          </w:p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n-US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 xml:space="preserve">-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Τag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-based gene expression</w:t>
            </w:r>
          </w:p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n-US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- Small RNA sequencing</w:t>
            </w:r>
          </w:p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n-US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- Total RNA sequencing (coding + noncoding)</w:t>
            </w:r>
          </w:p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n-US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- Targeted RNA sequencing</w:t>
            </w:r>
          </w:p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n-US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 xml:space="preserve">- Ribosome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prfiling</w:t>
            </w:r>
            <w:proofErr w:type="spellEnd"/>
          </w:p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n-US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- HLA sequence-based typing</w:t>
            </w:r>
          </w:p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- Μελέτη της δομής της χρωματίνης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28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Ο αναλυτής να φέρει λογισμικό κατάλληλο για την πρωτογενή ανάλυση των παραγόμενων δεδομένων.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29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bCs/>
                <w:szCs w:val="22"/>
                <w:lang w:val="el-GR" w:eastAsia="en-US"/>
              </w:rPr>
            </w:pPr>
            <w:r w:rsidRPr="00C7638C">
              <w:rPr>
                <w:rFonts w:eastAsia="Calibri"/>
                <w:bCs/>
                <w:szCs w:val="22"/>
                <w:lang w:val="el-GR" w:eastAsia="en-US"/>
              </w:rPr>
              <w:t>Η δευτερογενής ανάλυση των δεδομένων να μπορεί να πραγματοποιηθεί είτε τοπικά, εντός του ίδιου συστήματος, είτε με χρήση υπολογιστικού νέφους, του ίδιου κατασκευαστικού οίκου.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30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Να διαθέτει σήμανση 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CE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 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mark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.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31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Να είναι της πλέον πρόσφατης τεχνολογίας και κατασκευής, αμεταχείριστο και εργονομικό.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32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Να παρέχεται 1 χρόνος εγγύησης καλής λειτουργίας, η οποία θα ξεκινάει από την ημερομηνία παραλαβής του συστήματος και θα περιλαμβάνει επιδιορθωτική συντήρηση με δωρεάν</w:t>
            </w:r>
            <w:r w:rsidRPr="00C7638C">
              <w:rPr>
                <w:rFonts w:eastAsia="Calibri" w:cs="Times New Roman"/>
                <w:szCs w:val="22"/>
                <w:lang w:val="el-GR" w:eastAsia="en-US"/>
              </w:rPr>
              <w:t xml:space="preserve"> 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διάθεση ανταλλακτικών, 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lastRenderedPageBreak/>
              <w:t>αναβαθμίσεων λογισμικού και παντός είδους εργασίας που απαιτείται για τα παραπάνω.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lastRenderedPageBreak/>
              <w:t>33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Να παρέχεται πλήρης τεχνική υποστήριξη και άμεση ανταπόκριση από ειδικευμένο τεχνικό προσωπικό της προμηθεύτριας εταιρείας, εκπαιδευμένο και πιστοποιημένο από τον κατασκευαστικό οίκο. Να κατατεθούν τα σχετικά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br/>
              <w:t xml:space="preserve">πιστοποιητικά εκπαίδευσης από τον κατασκευαστικό οίκο του συστήματος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αλληλούχησης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.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34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Να παρέχεται πλήρης επιστημονική υποστήριξη από προσωπικό της προμηθεύτριας εταιρείας, εκπαιδευμένο και πιστοποιημένο από τον κατασκευαστικό οίκο (</w:t>
            </w:r>
            <w:r w:rsidRPr="00C7638C">
              <w:rPr>
                <w:rFonts w:eastAsia="Calibri"/>
                <w:color w:val="000000"/>
                <w:szCs w:val="22"/>
                <w:lang w:val="en-US" w:eastAsia="en-US"/>
              </w:rPr>
              <w:t>application</w:t>
            </w: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). 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35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l-GR" w:eastAsia="en-US"/>
              </w:rPr>
            </w:pPr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 xml:space="preserve">Να κατατεθούν τα σχετικά πιστοποιητικά εκπαίδευσης από τον κατασκευαστικό οίκο του συστήματος </w:t>
            </w:r>
            <w:proofErr w:type="spellStart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αλληλούχησης</w:t>
            </w:r>
            <w:proofErr w:type="spellEnd"/>
            <w:r w:rsidRPr="00C7638C">
              <w:rPr>
                <w:rFonts w:eastAsia="Calibri"/>
                <w:color w:val="000000"/>
                <w:szCs w:val="22"/>
                <w:lang w:val="el-GR" w:eastAsia="en-US"/>
              </w:rPr>
              <w:t>.</w:t>
            </w:r>
          </w:p>
        </w:tc>
        <w:tc>
          <w:tcPr>
            <w:tcW w:w="381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93883" w:rsidRPr="00C7638C" w:rsidRDefault="00193883" w:rsidP="00722B11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</w:tbl>
    <w:p w:rsidR="00193883" w:rsidRPr="001F15CF" w:rsidRDefault="00193883" w:rsidP="00193883">
      <w:pPr>
        <w:suppressAutoHyphens w:val="0"/>
        <w:autoSpaceDE w:val="0"/>
        <w:rPr>
          <w:rFonts w:eastAsia="SimSun"/>
          <w:sz w:val="24"/>
          <w:lang w:val="el-GR"/>
        </w:rPr>
      </w:pPr>
    </w:p>
    <w:p w:rsidR="00193883" w:rsidRDefault="00193883" w:rsidP="00193883">
      <w:pPr>
        <w:suppressAutoHyphens w:val="0"/>
        <w:spacing w:after="0"/>
        <w:rPr>
          <w:rFonts w:eastAsia="Calibri"/>
          <w:b/>
          <w:color w:val="000000"/>
          <w:szCs w:val="22"/>
          <w:lang w:val="el-GR" w:eastAsia="en-US"/>
        </w:rPr>
      </w:pPr>
    </w:p>
    <w:p w:rsidR="00193883" w:rsidRPr="00A248D4" w:rsidRDefault="00193883" w:rsidP="00193883">
      <w:pPr>
        <w:suppressAutoHyphens w:val="0"/>
        <w:spacing w:after="0"/>
        <w:rPr>
          <w:b/>
          <w:bCs/>
          <w:color w:val="000000"/>
          <w:szCs w:val="22"/>
          <w:lang w:val="el-GR" w:eastAsia="en-US"/>
        </w:rPr>
      </w:pPr>
      <w:r w:rsidRPr="00A248D4">
        <w:rPr>
          <w:rFonts w:eastAsia="Calibri"/>
          <w:b/>
          <w:color w:val="000000"/>
          <w:szCs w:val="22"/>
          <w:lang w:val="el-GR" w:eastAsia="en-US"/>
        </w:rPr>
        <w:t xml:space="preserve">ΤΜΗΜΑ 2. </w:t>
      </w:r>
      <w:proofErr w:type="spellStart"/>
      <w:r w:rsidRPr="00A248D4">
        <w:rPr>
          <w:rFonts w:eastAsia="Calibri"/>
          <w:b/>
          <w:color w:val="000000"/>
          <w:szCs w:val="22"/>
          <w:lang w:val="el-GR" w:eastAsia="en-US"/>
        </w:rPr>
        <w:t>Αλληλουχητής</w:t>
      </w:r>
      <w:proofErr w:type="spellEnd"/>
      <w:r w:rsidRPr="00A248D4">
        <w:rPr>
          <w:rFonts w:eastAsia="Calibri"/>
          <w:b/>
          <w:color w:val="000000"/>
          <w:szCs w:val="22"/>
          <w:lang w:val="el-GR" w:eastAsia="en-US"/>
        </w:rPr>
        <w:t xml:space="preserve"> Νέας Γενιάς (</w:t>
      </w:r>
      <w:r w:rsidRPr="00A248D4">
        <w:rPr>
          <w:rFonts w:eastAsia="Calibri"/>
          <w:b/>
          <w:color w:val="000000"/>
          <w:szCs w:val="22"/>
          <w:lang w:val="en-US" w:eastAsia="en-US"/>
        </w:rPr>
        <w:t>Next</w:t>
      </w:r>
      <w:r w:rsidRPr="00A248D4">
        <w:rPr>
          <w:rFonts w:eastAsia="Calibri"/>
          <w:b/>
          <w:color w:val="000000"/>
          <w:szCs w:val="22"/>
          <w:lang w:val="el-GR" w:eastAsia="en-US"/>
        </w:rPr>
        <w:t xml:space="preserve"> </w:t>
      </w:r>
      <w:r w:rsidRPr="00A248D4">
        <w:rPr>
          <w:rFonts w:eastAsia="Calibri"/>
          <w:b/>
          <w:color w:val="000000"/>
          <w:szCs w:val="22"/>
          <w:lang w:val="en-US" w:eastAsia="en-US"/>
        </w:rPr>
        <w:t>Generation</w:t>
      </w:r>
      <w:r w:rsidRPr="00A248D4">
        <w:rPr>
          <w:rFonts w:eastAsia="Calibri"/>
          <w:b/>
          <w:color w:val="000000"/>
          <w:szCs w:val="22"/>
          <w:lang w:val="el-GR" w:eastAsia="en-US"/>
        </w:rPr>
        <w:t xml:space="preserve"> </w:t>
      </w:r>
      <w:r w:rsidRPr="00A248D4">
        <w:rPr>
          <w:rFonts w:eastAsia="Calibri"/>
          <w:b/>
          <w:color w:val="000000"/>
          <w:szCs w:val="22"/>
          <w:lang w:val="en-US" w:eastAsia="en-US"/>
        </w:rPr>
        <w:t>Sequencer</w:t>
      </w:r>
      <w:r w:rsidRPr="00A248D4">
        <w:rPr>
          <w:rFonts w:eastAsia="Calibri"/>
          <w:b/>
          <w:color w:val="000000"/>
          <w:szCs w:val="22"/>
          <w:lang w:val="el-GR" w:eastAsia="en-US"/>
        </w:rPr>
        <w:t xml:space="preserve">) με τεχνολογία </w:t>
      </w:r>
      <w:proofErr w:type="spellStart"/>
      <w:r w:rsidRPr="00A248D4">
        <w:rPr>
          <w:rFonts w:eastAsia="Calibri"/>
          <w:b/>
          <w:color w:val="000000"/>
          <w:szCs w:val="22"/>
          <w:lang w:val="el-GR" w:eastAsia="en-US"/>
        </w:rPr>
        <w:t>αλληλούχησης</w:t>
      </w:r>
      <w:proofErr w:type="spellEnd"/>
      <w:r w:rsidRPr="00A248D4">
        <w:rPr>
          <w:rFonts w:eastAsia="Calibri"/>
          <w:b/>
          <w:color w:val="000000"/>
          <w:szCs w:val="22"/>
          <w:lang w:val="el-GR" w:eastAsia="en-US"/>
        </w:rPr>
        <w:t xml:space="preserve"> μέσω</w:t>
      </w:r>
      <w:r w:rsidRPr="00A248D4">
        <w:rPr>
          <w:rFonts w:eastAsia="Calibri"/>
          <w:b/>
          <w:bCs/>
          <w:color w:val="000000"/>
          <w:szCs w:val="22"/>
          <w:lang w:val="el-GR" w:eastAsia="en-US"/>
        </w:rPr>
        <w:t xml:space="preserve"> </w:t>
      </w:r>
      <w:r w:rsidRPr="00A248D4">
        <w:rPr>
          <w:rFonts w:eastAsia="Calibri"/>
          <w:b/>
          <w:color w:val="000000"/>
          <w:szCs w:val="22"/>
          <w:lang w:val="el-GR" w:eastAsia="en-US"/>
        </w:rPr>
        <w:t xml:space="preserve">ημιαγωγών </w:t>
      </w:r>
      <w:r w:rsidRPr="00A248D4">
        <w:rPr>
          <w:rFonts w:eastAsia="Calibri"/>
          <w:b/>
          <w:szCs w:val="22"/>
          <w:lang w:val="el-GR"/>
        </w:rPr>
        <w:t xml:space="preserve">για τη μοριακή ανίχνευση και </w:t>
      </w:r>
      <w:proofErr w:type="spellStart"/>
      <w:r w:rsidRPr="00A248D4">
        <w:rPr>
          <w:rFonts w:eastAsia="Calibri"/>
          <w:b/>
          <w:szCs w:val="22"/>
          <w:lang w:val="el-GR"/>
        </w:rPr>
        <w:t>γονιδιωματική</w:t>
      </w:r>
      <w:proofErr w:type="spellEnd"/>
      <w:r w:rsidRPr="00A248D4">
        <w:rPr>
          <w:rFonts w:eastAsia="Calibri"/>
          <w:b/>
          <w:szCs w:val="22"/>
          <w:lang w:val="el-GR"/>
        </w:rPr>
        <w:t xml:space="preserve"> επιτήρηση παθογόνων, περιλαμβανομένου και του SARS-CoV-2.</w:t>
      </w:r>
    </w:p>
    <w:p w:rsidR="00193883" w:rsidRPr="00A248D4" w:rsidRDefault="00193883" w:rsidP="00193883">
      <w:pPr>
        <w:suppressAutoHyphens w:val="0"/>
        <w:autoSpaceDE w:val="0"/>
        <w:rPr>
          <w:rFonts w:eastAsia="SimSun"/>
          <w:szCs w:val="22"/>
          <w:lang w:val="el-G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5"/>
        <w:gridCol w:w="4751"/>
        <w:gridCol w:w="727"/>
        <w:gridCol w:w="727"/>
        <w:gridCol w:w="1496"/>
      </w:tblGrid>
      <w:tr w:rsidR="00193883" w:rsidRPr="00C41181" w:rsidTr="00722B11"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C41181">
              <w:rPr>
                <w:b/>
                <w:bCs/>
                <w:color w:val="000000"/>
                <w:szCs w:val="22"/>
                <w:lang w:val="el-GR" w:eastAsia="en-US"/>
              </w:rPr>
              <w:t xml:space="preserve">Α/Α </w:t>
            </w:r>
          </w:p>
        </w:tc>
        <w:tc>
          <w:tcPr>
            <w:tcW w:w="2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C41181">
              <w:rPr>
                <w:b/>
                <w:bCs/>
                <w:color w:val="000000"/>
                <w:szCs w:val="22"/>
                <w:lang w:val="el-GR" w:eastAsia="en-US"/>
              </w:rPr>
              <w:t>ΤΕΧΝΙΚΕΣ ΠΡΟΔΙΑΓΡΑΦΕΣ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C41181">
              <w:rPr>
                <w:b/>
                <w:bCs/>
                <w:color w:val="000000"/>
                <w:szCs w:val="22"/>
                <w:lang w:val="el-GR" w:eastAsia="en-US"/>
              </w:rPr>
              <w:t>ΑΠΑΙΤΗΣΗ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C41181">
              <w:rPr>
                <w:b/>
                <w:bCs/>
                <w:color w:val="000000"/>
                <w:szCs w:val="22"/>
                <w:lang w:val="el-GR" w:eastAsia="en-US"/>
              </w:rPr>
              <w:t>ΠΑΡΑΠΟΜΠΗ</w:t>
            </w:r>
          </w:p>
        </w:tc>
      </w:tr>
      <w:tr w:rsidR="00193883" w:rsidRPr="00C41181" w:rsidTr="00722B11"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4"/>
                <w:lang w:val="el-GR" w:eastAsia="en-US"/>
              </w:rPr>
            </w:pPr>
          </w:p>
        </w:tc>
        <w:tc>
          <w:tcPr>
            <w:tcW w:w="2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4"/>
                <w:lang w:val="el-GR"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4"/>
                <w:lang w:val="el-GR" w:eastAsia="en-US"/>
              </w:rPr>
            </w:pPr>
            <w:r w:rsidRPr="00C41181">
              <w:rPr>
                <w:b/>
                <w:bCs/>
                <w:color w:val="000000"/>
                <w:szCs w:val="22"/>
                <w:lang w:val="el-GR" w:eastAsia="en-US"/>
              </w:rPr>
              <w:t xml:space="preserve">ΝΑΙ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4"/>
                <w:lang w:val="el-GR" w:eastAsia="en-US"/>
              </w:rPr>
            </w:pPr>
            <w:r w:rsidRPr="00C41181">
              <w:rPr>
                <w:b/>
                <w:bCs/>
                <w:color w:val="000000"/>
                <w:szCs w:val="22"/>
                <w:lang w:val="el-GR" w:eastAsia="en-US"/>
              </w:rPr>
              <w:t xml:space="preserve">ΟΧΙ </w:t>
            </w: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4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1</w:t>
            </w:r>
          </w:p>
        </w:tc>
        <w:tc>
          <w:tcPr>
            <w:tcW w:w="2881" w:type="pct"/>
            <w:vAlign w:val="center"/>
            <w:hideMark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Επιτραπέζια πλατφό</w:t>
            </w:r>
            <w:r>
              <w:rPr>
                <w:color w:val="000000"/>
                <w:szCs w:val="22"/>
                <w:lang w:val="el-GR" w:eastAsia="en-US"/>
              </w:rPr>
              <w:t>ρμα μαζικής παράλληλης</w:t>
            </w:r>
            <w:r>
              <w:rPr>
                <w:color w:val="000000"/>
                <w:szCs w:val="22"/>
                <w:lang w:val="el-GR" w:eastAsia="en-US"/>
              </w:rPr>
              <w:br/>
            </w:r>
            <w:proofErr w:type="spellStart"/>
            <w:r>
              <w:rPr>
                <w:color w:val="000000"/>
                <w:szCs w:val="22"/>
                <w:lang w:val="el-GR" w:eastAsia="en-US"/>
              </w:rPr>
              <w:t>αλληλούχη</w:t>
            </w:r>
            <w:r w:rsidRPr="00C41181">
              <w:rPr>
                <w:color w:val="000000"/>
                <w:szCs w:val="22"/>
                <w:lang w:val="el-GR" w:eastAsia="en-US"/>
              </w:rPr>
              <w:t>ση</w:t>
            </w:r>
            <w:r>
              <w:rPr>
                <w:color w:val="000000"/>
                <w:szCs w:val="22"/>
                <w:lang w:val="el-GR" w:eastAsia="en-US"/>
              </w:rPr>
              <w:t>ς</w:t>
            </w:r>
            <w:proofErr w:type="spellEnd"/>
            <w:r>
              <w:rPr>
                <w:color w:val="000000"/>
                <w:szCs w:val="22"/>
                <w:lang w:val="el-GR" w:eastAsia="en-US"/>
              </w:rPr>
              <w:t xml:space="preserve"> που να επιτρέπει την </w:t>
            </w:r>
            <w:proofErr w:type="spellStart"/>
            <w:r>
              <w:rPr>
                <w:color w:val="000000"/>
                <w:szCs w:val="22"/>
                <w:lang w:val="el-GR" w:eastAsia="en-US"/>
              </w:rPr>
              <w:t>αλληλούχη</w:t>
            </w:r>
            <w:r w:rsidRPr="00C41181">
              <w:rPr>
                <w:color w:val="000000"/>
                <w:szCs w:val="22"/>
                <w:lang w:val="el-GR" w:eastAsia="en-US"/>
              </w:rPr>
              <w:t>ση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br/>
              <w:t xml:space="preserve">πλήρους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εξώματος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,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μεταγραφώματος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και</w:t>
            </w:r>
            <w:r w:rsidRPr="00C41181">
              <w:rPr>
                <w:color w:val="000000"/>
                <w:szCs w:val="22"/>
                <w:lang w:val="el-GR" w:eastAsia="en-US"/>
              </w:rPr>
              <w:br/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στοχευμένων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γενωμικών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περιοχών σε 2.5-4 ώρες.</w:t>
            </w:r>
          </w:p>
        </w:tc>
        <w:tc>
          <w:tcPr>
            <w:tcW w:w="455" w:type="pct"/>
            <w:vAlign w:val="center"/>
            <w:hideMark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  <w:hideMark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  <w:hideMark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2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Η πλατφόρμα να βασίζεται στην πλέον σύγχρο</w:t>
            </w:r>
            <w:r>
              <w:rPr>
                <w:color w:val="000000"/>
                <w:szCs w:val="22"/>
                <w:lang w:val="el-GR" w:eastAsia="en-US"/>
              </w:rPr>
              <w:t xml:space="preserve">νη τεχνολογία </w:t>
            </w:r>
            <w:proofErr w:type="spellStart"/>
            <w:r>
              <w:rPr>
                <w:color w:val="000000"/>
                <w:szCs w:val="22"/>
                <w:lang w:val="el-GR" w:eastAsia="en-US"/>
              </w:rPr>
              <w:t>αλληλούχη</w:t>
            </w:r>
            <w:r w:rsidRPr="00C41181">
              <w:rPr>
                <w:color w:val="000000"/>
                <w:szCs w:val="22"/>
                <w:lang w:val="el-GR" w:eastAsia="en-US"/>
              </w:rPr>
              <w:t>σης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μέσω ημιαγωγών, ν</w:t>
            </w:r>
            <w:r>
              <w:rPr>
                <w:color w:val="000000"/>
                <w:szCs w:val="22"/>
                <w:lang w:val="el-GR" w:eastAsia="en-US"/>
              </w:rPr>
              <w:t xml:space="preserve">α προσφέρει ταχεία </w:t>
            </w:r>
            <w:proofErr w:type="spellStart"/>
            <w:r>
              <w:rPr>
                <w:color w:val="000000"/>
                <w:szCs w:val="22"/>
                <w:lang w:val="el-GR" w:eastAsia="en-US"/>
              </w:rPr>
              <w:t>αλληλούχη</w:t>
            </w:r>
            <w:r w:rsidRPr="00C41181">
              <w:rPr>
                <w:color w:val="000000"/>
                <w:szCs w:val="22"/>
                <w:lang w:val="el-GR" w:eastAsia="en-US"/>
              </w:rPr>
              <w:t>ση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>, απλή πειραματική διαδικασία και υψηλής ποιότητας δεδομένα.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3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τεχνολογία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αλληλούχισης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να βασίζεται σε εξειδικευμένες συστοιχίες ημιαγωγών (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Chips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), που να επιτρέπουν τη μέτρηση σε πραγματικό χρόνο των εκλυόμενων ιόντων υδρογόνου από τη δημιουργία του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φωσφοδιεστερικού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δεσμού κατά την επιμήκυνση της αλυσίδας DNA. Στην επιφάνεια αυτών των ημιαγωγών με τη βοήθεια ενός υψηλής ποιότητας συστήματος διαχείρισης υγρών να εξασφαλίζεται η μετατροπή της γενετικής πληροφορίας (DNA μόρια) σε ψηφιακή (DNA</w:t>
            </w:r>
            <w:r w:rsidRPr="00C41181">
              <w:rPr>
                <w:color w:val="000000"/>
                <w:szCs w:val="22"/>
                <w:lang w:val="el-GR" w:eastAsia="en-US"/>
              </w:rPr>
              <w:br/>
              <w:t>αλληλουχία) με τον πλέον γρήγορο, αξιόπιστο και υψηλής ακρίβεια τρόπο.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4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Το σύστημα να είναι απλό και στιβαρό σε κατασκευή, χωρίς την ύπαρξη οπτικών μερών, πηγών διέγερσης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laser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, ανάγκη βαθμονόμησης οπτικών διατάξεων, ειδικές περιβαλλοντικές </w:t>
            </w:r>
            <w:r w:rsidRPr="00C41181">
              <w:rPr>
                <w:color w:val="000000"/>
                <w:szCs w:val="22"/>
                <w:lang w:val="el-GR" w:eastAsia="en-US"/>
              </w:rPr>
              <w:lastRenderedPageBreak/>
              <w:t>απαιτήσεις ή ειδικές απαιτήσεις χώρου</w:t>
            </w:r>
            <w:r w:rsidRPr="00C41181">
              <w:rPr>
                <w:color w:val="000000"/>
                <w:szCs w:val="22"/>
                <w:lang w:val="el-GR" w:eastAsia="en-US"/>
              </w:rPr>
              <w:br/>
              <w:t>εγκατάστασης έναντι κραδασμών ή παρεμβολών.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lastRenderedPageBreak/>
              <w:t>5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Το σύστημα να διαθέτει αυτοματοποιημένη παρακολούθηση των αντιδραστηρίων μέσω</w:t>
            </w:r>
            <w:r w:rsidRPr="00C41181">
              <w:rPr>
                <w:color w:val="000000"/>
                <w:szCs w:val="22"/>
                <w:lang w:val="el-GR" w:eastAsia="en-US"/>
              </w:rPr>
              <w:br/>
              <w:t>ραδιοσυχνοτήτων εξασφαλίζοντας ποιοτικό έλεγχο.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6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Το σύστημα να είναι συμβατό τόσο με </w:t>
            </w:r>
            <w:proofErr w:type="spellStart"/>
            <w:r>
              <w:rPr>
                <w:color w:val="000000"/>
                <w:szCs w:val="22"/>
                <w:lang w:val="el-GR" w:eastAsia="en-US"/>
              </w:rPr>
              <w:t>αλληλούχη</w:t>
            </w:r>
            <w:r w:rsidRPr="00C41181">
              <w:rPr>
                <w:color w:val="000000"/>
                <w:szCs w:val="22"/>
                <w:lang w:val="el-GR" w:eastAsia="en-US"/>
              </w:rPr>
              <w:t>ση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2 πλήρων ανθρωπίνων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εξωμάτων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ανά πείραμα όσο και πολλαπλών μικρής κλίμακας γονιδίων που σχετίζονται με γενετικά νοσήματα μη ακριβώς καθορισμένα από μια συνεχώς επεκτεινόμενη λίστα με τη χρήση της τεχνολογίας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Ampliseq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>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7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Να επιτρέπει μήκη ανάγνωσης αλληλουχίας έως και πλέον των 600 βάσεων.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8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Το σύστημα να επιτρέπει τη χρήση έως και 4 διαφορετικών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chip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διαφορετικής χωρητικότητας, ώστε να διασφαλίζεται μέγιστη ευελιξία επιτρ</w:t>
            </w:r>
            <w:r>
              <w:rPr>
                <w:color w:val="000000"/>
                <w:szCs w:val="22"/>
                <w:lang w:val="el-GR" w:eastAsia="en-US"/>
              </w:rPr>
              <w:t xml:space="preserve">έποντας την ταυτόχρονη </w:t>
            </w:r>
            <w:proofErr w:type="spellStart"/>
            <w:r>
              <w:rPr>
                <w:color w:val="000000"/>
                <w:szCs w:val="22"/>
                <w:lang w:val="el-GR" w:eastAsia="en-US"/>
              </w:rPr>
              <w:t>αλληλούχη</w:t>
            </w:r>
            <w:r w:rsidRPr="00C41181">
              <w:rPr>
                <w:color w:val="000000"/>
                <w:szCs w:val="22"/>
                <w:lang w:val="el-GR" w:eastAsia="en-US"/>
              </w:rPr>
              <w:t>ση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είτε πλήρων ανθρωπίνων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εξωμάτων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, μεγάλης πολυπλοκότητας γενετικών πάνελ, είτε μικρών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στοχευμένων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περιοχών προσαρμοζόμενο στις απαιτήσεις του χειριστή και παρέχοντας μέγιστη</w:t>
            </w:r>
            <w:r w:rsidRPr="00C41181">
              <w:rPr>
                <w:color w:val="000000"/>
                <w:szCs w:val="22"/>
                <w:lang w:val="el-GR" w:eastAsia="en-US"/>
              </w:rPr>
              <w:br/>
              <w:t>βελτιστοποίηση του κόστους.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9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Το σύστημα να επιτρέπει την ταυτόχρονη </w:t>
            </w:r>
            <w:proofErr w:type="spellStart"/>
            <w:r>
              <w:rPr>
                <w:color w:val="000000"/>
                <w:szCs w:val="22"/>
                <w:lang w:val="el-GR" w:eastAsia="en-US"/>
              </w:rPr>
              <w:t>αλληλούχη</w:t>
            </w:r>
            <w:r w:rsidRPr="00C41181">
              <w:rPr>
                <w:color w:val="000000"/>
                <w:szCs w:val="22"/>
                <w:lang w:val="el-GR" w:eastAsia="en-US"/>
              </w:rPr>
              <w:t>ση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έως και 384 διαφορετικών βιβλιοθηκών ανά πείραμα.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10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Η παρακολούθηση του πειράματος να μπορεί να γίνει απομακρυσμένα διαμέσου διαδικτύου από σταθερές και κινητές πλατφόρμες.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11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Η εξαγωγή των δεδομένων να γίνεται σύμφωνα με όλες τις διεθνείς οδηγίες βέλτιστων πρακτικών, ώστε να διασφαλίζεται συμβατότητα με παρούσες και μελλοντικές πλατφόρμες ανάλυσης.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12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Να συνοδεύεται από ανεξάρτητο σύστημα προετοιμασίας δείγματος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13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Ο κατασκευαστής να παρέχει πρόσβαση σε ειδικό απλοποιημένο σύστημα ανάλυσης δεδομένων (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cloud-based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data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analysis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platform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>), ώστε να μην απαιτείται μεγάλος χώρος αποθήκευσης δεδομένων (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server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>).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14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Ο κατασκευαστής να παρέχει διασύνδεση μεταξύ δεδομένων </w:t>
            </w:r>
            <w:r>
              <w:rPr>
                <w:color w:val="000000"/>
                <w:szCs w:val="22"/>
                <w:lang w:val="el-GR" w:eastAsia="en-US"/>
              </w:rPr>
              <w:t xml:space="preserve">που προέρχονται από </w:t>
            </w:r>
            <w:proofErr w:type="spellStart"/>
            <w:r>
              <w:rPr>
                <w:color w:val="000000"/>
                <w:szCs w:val="22"/>
                <w:lang w:val="el-GR" w:eastAsia="en-US"/>
              </w:rPr>
              <w:t>αλληλούχη</w:t>
            </w:r>
            <w:r w:rsidRPr="00C41181">
              <w:rPr>
                <w:color w:val="000000"/>
                <w:szCs w:val="22"/>
                <w:lang w:val="el-GR" w:eastAsia="en-US"/>
              </w:rPr>
              <w:t>ση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νέας γενιάς και</w:t>
            </w:r>
            <w:r>
              <w:rPr>
                <w:color w:val="000000"/>
                <w:szCs w:val="22"/>
                <w:lang w:val="el-GR" w:eastAsia="en-US"/>
              </w:rPr>
              <w:t xml:space="preserve"> δεδομένων από </w:t>
            </w:r>
            <w:proofErr w:type="spellStart"/>
            <w:r>
              <w:rPr>
                <w:color w:val="000000"/>
                <w:szCs w:val="22"/>
                <w:lang w:val="el-GR" w:eastAsia="en-US"/>
              </w:rPr>
              <w:t>αλληλούχη</w:t>
            </w:r>
            <w:r w:rsidRPr="00C41181">
              <w:rPr>
                <w:color w:val="000000"/>
                <w:szCs w:val="22"/>
                <w:lang w:val="el-GR" w:eastAsia="en-US"/>
              </w:rPr>
              <w:t>ση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κατά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Sanger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ή δεδομένων από πειράματα Real TIMΕ PCR κάνοντας ευκολότερη την επιβεβαίωση ευρημάτων.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</w:tbl>
    <w:p w:rsidR="00193883" w:rsidRPr="001F15CF" w:rsidRDefault="00193883" w:rsidP="00193883">
      <w:pPr>
        <w:rPr>
          <w:sz w:val="24"/>
          <w:lang w:val="el-GR"/>
        </w:rPr>
      </w:pPr>
    </w:p>
    <w:p w:rsidR="00193883" w:rsidRPr="001F15CF" w:rsidRDefault="00193883" w:rsidP="00193883">
      <w:pPr>
        <w:suppressAutoHyphens w:val="0"/>
        <w:autoSpaceDE w:val="0"/>
        <w:rPr>
          <w:sz w:val="24"/>
          <w:lang w:val="el-GR"/>
        </w:rPr>
      </w:pPr>
    </w:p>
    <w:p w:rsidR="00193883" w:rsidRDefault="00193883" w:rsidP="0019388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before="0" w:after="120"/>
        <w:ind w:left="0" w:firstLine="0"/>
        <w:rPr>
          <w:rFonts w:ascii="Calibri" w:hAnsi="Calibri"/>
          <w:szCs w:val="24"/>
          <w:lang w:val="el-GR"/>
        </w:rPr>
      </w:pPr>
    </w:p>
    <w:p w:rsidR="00193883" w:rsidRPr="009C324D" w:rsidRDefault="00193883" w:rsidP="0019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/>
        <w:rPr>
          <w:rFonts w:eastAsia="Calibri"/>
          <w:b/>
          <w:color w:val="000000"/>
          <w:szCs w:val="22"/>
          <w:lang w:val="el-GR" w:eastAsia="en-US"/>
        </w:rPr>
      </w:pPr>
      <w:r w:rsidRPr="009C324D">
        <w:rPr>
          <w:rFonts w:eastAsia="Calibri"/>
          <w:b/>
          <w:color w:val="000000"/>
          <w:szCs w:val="22"/>
          <w:lang w:val="el-GR" w:eastAsia="en-US"/>
        </w:rPr>
        <w:t xml:space="preserve">ΤΜΗΜΑ 3. Πλατφόρμα προετοιμασίας βιβλιοθηκών για </w:t>
      </w:r>
      <w:proofErr w:type="spellStart"/>
      <w:r w:rsidRPr="009C324D">
        <w:rPr>
          <w:rFonts w:eastAsia="Calibri"/>
          <w:b/>
          <w:color w:val="000000"/>
          <w:szCs w:val="22"/>
          <w:lang w:val="el-GR" w:eastAsia="en-US"/>
        </w:rPr>
        <w:t>αλληλούχηση</w:t>
      </w:r>
      <w:proofErr w:type="spellEnd"/>
      <w:r w:rsidRPr="009C324D">
        <w:rPr>
          <w:rFonts w:eastAsia="Calibri"/>
          <w:b/>
          <w:color w:val="000000"/>
          <w:szCs w:val="22"/>
          <w:lang w:val="el-GR" w:eastAsia="en-US"/>
        </w:rPr>
        <w:t xml:space="preserve"> πλήρους </w:t>
      </w:r>
      <w:proofErr w:type="spellStart"/>
      <w:r w:rsidRPr="009C324D">
        <w:rPr>
          <w:rFonts w:eastAsia="Calibri"/>
          <w:b/>
          <w:color w:val="000000"/>
          <w:szCs w:val="22"/>
          <w:lang w:val="el-GR" w:eastAsia="en-US"/>
        </w:rPr>
        <w:t>μεταγραφώματος</w:t>
      </w:r>
      <w:proofErr w:type="spellEnd"/>
      <w:r w:rsidRPr="009C324D">
        <w:rPr>
          <w:rFonts w:eastAsia="Calibri"/>
          <w:b/>
          <w:bCs/>
          <w:color w:val="000000"/>
          <w:szCs w:val="22"/>
          <w:lang w:val="el-GR" w:eastAsia="en-US"/>
        </w:rPr>
        <w:br/>
      </w:r>
      <w:r w:rsidRPr="009C324D">
        <w:rPr>
          <w:rFonts w:eastAsia="Calibri"/>
          <w:b/>
          <w:color w:val="000000"/>
          <w:szCs w:val="22"/>
          <w:lang w:val="el-GR" w:eastAsia="en-US"/>
        </w:rPr>
        <w:t xml:space="preserve">μεγάλου αριθμού </w:t>
      </w:r>
      <w:proofErr w:type="spellStart"/>
      <w:r w:rsidRPr="009C324D">
        <w:rPr>
          <w:rFonts w:eastAsia="Calibri"/>
          <w:b/>
          <w:color w:val="000000"/>
          <w:szCs w:val="22"/>
          <w:lang w:val="el-GR" w:eastAsia="en-US"/>
        </w:rPr>
        <w:t>μοναδιαίων</w:t>
      </w:r>
      <w:proofErr w:type="spellEnd"/>
      <w:r w:rsidRPr="009C324D">
        <w:rPr>
          <w:rFonts w:eastAsia="Calibri"/>
          <w:b/>
          <w:color w:val="000000"/>
          <w:szCs w:val="22"/>
          <w:lang w:val="el-GR" w:eastAsia="en-US"/>
        </w:rPr>
        <w:t xml:space="preserve"> κυττάρων και ανάλυση γονιδιακής έκφρασης, ανοσολογικού προφίλ και</w:t>
      </w:r>
      <w:r w:rsidRPr="009C324D">
        <w:rPr>
          <w:rFonts w:eastAsia="Calibri"/>
          <w:b/>
          <w:bCs/>
          <w:color w:val="000000"/>
          <w:szCs w:val="22"/>
          <w:lang w:val="el-GR" w:eastAsia="en-US"/>
        </w:rPr>
        <w:t xml:space="preserve"> </w:t>
      </w:r>
      <w:r w:rsidRPr="009C324D">
        <w:rPr>
          <w:rFonts w:eastAsia="Calibri"/>
          <w:b/>
          <w:color w:val="000000"/>
          <w:szCs w:val="22"/>
          <w:lang w:val="el-GR" w:eastAsia="en-US"/>
        </w:rPr>
        <w:t xml:space="preserve">δοκιμασίας έναντι χρωματίνης </w:t>
      </w:r>
      <w:proofErr w:type="spellStart"/>
      <w:r w:rsidRPr="009C324D">
        <w:rPr>
          <w:rFonts w:eastAsia="Calibri"/>
          <w:b/>
          <w:color w:val="000000"/>
          <w:szCs w:val="22"/>
          <w:lang w:val="el-GR" w:eastAsia="en-US"/>
        </w:rPr>
        <w:t>προσβάσιμης</w:t>
      </w:r>
      <w:proofErr w:type="spellEnd"/>
      <w:r w:rsidRPr="009C324D">
        <w:rPr>
          <w:rFonts w:eastAsia="Calibri"/>
          <w:b/>
          <w:color w:val="000000"/>
          <w:szCs w:val="22"/>
          <w:lang w:val="el-GR" w:eastAsia="en-US"/>
        </w:rPr>
        <w:t xml:space="preserve"> σε </w:t>
      </w:r>
      <w:proofErr w:type="spellStart"/>
      <w:r w:rsidRPr="009C324D">
        <w:rPr>
          <w:rFonts w:eastAsia="Calibri"/>
          <w:b/>
          <w:color w:val="000000"/>
          <w:szCs w:val="22"/>
          <w:lang w:val="el-GR" w:eastAsia="en-US"/>
        </w:rPr>
        <w:t>μεταθετάση</w:t>
      </w:r>
      <w:proofErr w:type="spellEnd"/>
      <w:r w:rsidRPr="009C324D">
        <w:rPr>
          <w:rFonts w:eastAsia="Calibri"/>
          <w:b/>
          <w:color w:val="000000"/>
          <w:szCs w:val="22"/>
          <w:lang w:val="el-GR" w:eastAsia="en-US"/>
        </w:rPr>
        <w:t>.</w:t>
      </w:r>
    </w:p>
    <w:p w:rsidR="00193883" w:rsidRDefault="00193883" w:rsidP="00193883">
      <w:pPr>
        <w:pStyle w:val="Heading2"/>
        <w:tabs>
          <w:tab w:val="clear" w:pos="567"/>
          <w:tab w:val="left" w:pos="0"/>
        </w:tabs>
        <w:spacing w:before="0" w:after="120"/>
        <w:ind w:left="0" w:firstLine="0"/>
        <w:rPr>
          <w:rFonts w:ascii="Calibri" w:hAnsi="Calibri"/>
          <w:szCs w:val="24"/>
          <w:lang w:val="el-G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5"/>
        <w:gridCol w:w="4751"/>
        <w:gridCol w:w="727"/>
        <w:gridCol w:w="727"/>
        <w:gridCol w:w="1496"/>
      </w:tblGrid>
      <w:tr w:rsidR="00193883" w:rsidRPr="00C41181" w:rsidTr="00722B11"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C41181">
              <w:rPr>
                <w:b/>
                <w:bCs/>
                <w:color w:val="000000"/>
                <w:szCs w:val="22"/>
                <w:lang w:val="el-GR" w:eastAsia="en-US"/>
              </w:rPr>
              <w:t xml:space="preserve">Α/Α </w:t>
            </w:r>
          </w:p>
        </w:tc>
        <w:tc>
          <w:tcPr>
            <w:tcW w:w="2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C41181">
              <w:rPr>
                <w:b/>
                <w:bCs/>
                <w:color w:val="000000"/>
                <w:szCs w:val="22"/>
                <w:lang w:val="el-GR" w:eastAsia="en-US"/>
              </w:rPr>
              <w:t>ΤΕΧΝΙΚΕΣ ΠΡΟΔΙΑΓΡΑΦΕΣ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C41181">
              <w:rPr>
                <w:b/>
                <w:bCs/>
                <w:color w:val="000000"/>
                <w:szCs w:val="22"/>
                <w:lang w:val="el-GR" w:eastAsia="en-US"/>
              </w:rPr>
              <w:t>ΑΠΑΙΤΗΣΗ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C41181">
              <w:rPr>
                <w:b/>
                <w:bCs/>
                <w:color w:val="000000"/>
                <w:szCs w:val="22"/>
                <w:lang w:val="el-GR" w:eastAsia="en-US"/>
              </w:rPr>
              <w:t>ΠΑΡΑΠΟΜΠΗ</w:t>
            </w:r>
          </w:p>
        </w:tc>
      </w:tr>
      <w:tr w:rsidR="00193883" w:rsidRPr="00C41181" w:rsidTr="00722B11"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4"/>
                <w:lang w:val="el-GR" w:eastAsia="en-US"/>
              </w:rPr>
            </w:pPr>
          </w:p>
        </w:tc>
        <w:tc>
          <w:tcPr>
            <w:tcW w:w="2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4"/>
                <w:lang w:val="el-GR"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4"/>
                <w:lang w:val="el-GR" w:eastAsia="en-US"/>
              </w:rPr>
            </w:pPr>
            <w:r w:rsidRPr="00C41181">
              <w:rPr>
                <w:b/>
                <w:bCs/>
                <w:color w:val="000000"/>
                <w:szCs w:val="22"/>
                <w:lang w:val="el-GR" w:eastAsia="en-US"/>
              </w:rPr>
              <w:t xml:space="preserve">ΝΑΙ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4"/>
                <w:lang w:val="el-GR" w:eastAsia="en-US"/>
              </w:rPr>
            </w:pPr>
            <w:r w:rsidRPr="00C41181">
              <w:rPr>
                <w:b/>
                <w:bCs/>
                <w:color w:val="000000"/>
                <w:szCs w:val="22"/>
                <w:lang w:val="el-GR" w:eastAsia="en-US"/>
              </w:rPr>
              <w:t xml:space="preserve">ΟΧΙ </w:t>
            </w: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4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1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μπορεί να προετοιμάζει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μοναδιαία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κύτταρα για ανάλυση γονιδιακής έκφρασης, ανάλυση ανοσολογικού προφίλ και ανάλυσης δοκιμασίας έναντι χρωματίνης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προσβάσιμης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σε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μεταθετάση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(ATAC) στην ίδια συσκευή.</w:t>
            </w:r>
          </w:p>
        </w:tc>
        <w:tc>
          <w:tcPr>
            <w:tcW w:w="455" w:type="pct"/>
            <w:vAlign w:val="center"/>
            <w:hideMark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  <w:hideMark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  <w:hideMark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2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l-GR" w:eastAsia="en-US"/>
              </w:rPr>
            </w:pPr>
            <w:r w:rsidRPr="00C41181">
              <w:rPr>
                <w:b/>
                <w:color w:val="000000"/>
                <w:szCs w:val="22"/>
                <w:lang w:val="el-GR" w:eastAsia="en-US"/>
              </w:rPr>
              <w:t>Προδιαγραφές ανάλυσης γονιδιακής έκφρασης σε</w:t>
            </w:r>
            <w:r w:rsidRPr="00C41181">
              <w:rPr>
                <w:b/>
                <w:color w:val="000000"/>
                <w:szCs w:val="22"/>
                <w:lang w:val="el-GR" w:eastAsia="en-US"/>
              </w:rPr>
              <w:br/>
              <w:t xml:space="preserve">επίπεδο </w:t>
            </w:r>
            <w:proofErr w:type="spellStart"/>
            <w:r w:rsidRPr="00C41181">
              <w:rPr>
                <w:b/>
                <w:color w:val="000000"/>
                <w:szCs w:val="22"/>
                <w:lang w:val="el-GR" w:eastAsia="en-US"/>
              </w:rPr>
              <w:t>μοναδιαίου</w:t>
            </w:r>
            <w:proofErr w:type="spellEnd"/>
            <w:r w:rsidRPr="00C41181">
              <w:rPr>
                <w:b/>
                <w:color w:val="000000"/>
                <w:szCs w:val="22"/>
                <w:lang w:val="el-GR" w:eastAsia="en-US"/>
              </w:rPr>
              <w:t xml:space="preserve"> κυττάρου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3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μπορεί να παράγει επίπεδα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μεταγράφων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μοναδιαίων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κυττάρων σε έως και 80.000 κύτταρα ανά πείραμα.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4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επιτρέπει την δημιουργία περισσοτέρων από 90.000 ξεχωριστών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μικροδιαμερισμάτων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τάξης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νανολίτρου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χρησιμοποιώντας περί τα 1.3 εκατομμύρια μοναδικούς ιχνηθέτες 16 βάσεων.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5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δύναται να συλλέγει κύτταρα με μεγάλη απόδοση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εως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και 65%.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6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Η πλατφόρμα να έχει χαμηλό βαθμό παραγωγής διπλών κυττάρων (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doublet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rate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>) όχι ανώτερο του 0,9% ανά 1000 κύτταρα.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7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επιτρέπει την ανάλυση πολύπλοκων κυτταρικών πληθυσμών με υψηλής απόδοσης ψηφιακή αποτύπωση της γονιδιακής έκφρασης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μοναδιαίων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κυττάρων.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8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επιτρέπει τον χαρακτηρισμό επιπλέον φαινοτύπων των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μοναδιαίων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κυττάρων μέσω περαιτέρω ιχνηθετών.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9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συνοδεύεται από ολοκληρωμένη λύση πρωτοκόλλων ανάλυσης και λογισμικών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οπτικοποίησης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των αποτελεσμάτων τόσο για αρχαρίους όσο και έμπειρους χρήστες.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10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χρησιμοποιεί διάταξη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μικρορευστών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συμβατή με μεγάλη γκάμα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ευκαρυωτικών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κυττάρων διαφόρων κυτταρικών μεγεθών και τύπων (προσκολλημένες κυτταρικές καλλιέργειες, κυτταρικές καλλιέργειες σε εναιώρημα, ιστούς, αίμα).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11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επιτρέπει σύντομο χρόνο μέχρι τη λύση του κυττάρου επιτρέποντας τον ακριβή </w:t>
            </w:r>
            <w:r w:rsidRPr="00C41181">
              <w:rPr>
                <w:color w:val="000000"/>
                <w:szCs w:val="22"/>
                <w:lang w:val="el-GR" w:eastAsia="en-US"/>
              </w:rPr>
              <w:lastRenderedPageBreak/>
              <w:t xml:space="preserve">προσδιορισμό του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μεταγραφώματος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με ελάχιστη επίδραση στη γονιδιακή έκφραση.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lastRenderedPageBreak/>
              <w:t>12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l-GR" w:eastAsia="en-US"/>
              </w:rPr>
            </w:pPr>
            <w:r w:rsidRPr="00C41181">
              <w:rPr>
                <w:b/>
                <w:color w:val="000000"/>
                <w:szCs w:val="22"/>
                <w:lang w:val="el-GR" w:eastAsia="en-US"/>
              </w:rPr>
              <w:t>Προδιαγραφές ανάλυσης ανοσολογικού προφίλ σε</w:t>
            </w:r>
            <w:r w:rsidRPr="00C41181">
              <w:rPr>
                <w:b/>
                <w:color w:val="000000"/>
                <w:szCs w:val="22"/>
                <w:lang w:val="el-GR" w:eastAsia="en-US"/>
              </w:rPr>
              <w:br/>
              <w:t xml:space="preserve">επίπεδο </w:t>
            </w:r>
            <w:proofErr w:type="spellStart"/>
            <w:r w:rsidRPr="00C41181">
              <w:rPr>
                <w:b/>
                <w:color w:val="000000"/>
                <w:szCs w:val="22"/>
                <w:lang w:val="el-GR" w:eastAsia="en-US"/>
              </w:rPr>
              <w:t>μοναδιαίου</w:t>
            </w:r>
            <w:proofErr w:type="spellEnd"/>
            <w:r w:rsidRPr="00C41181">
              <w:rPr>
                <w:b/>
                <w:color w:val="000000"/>
                <w:szCs w:val="22"/>
                <w:lang w:val="el-GR" w:eastAsia="en-US"/>
              </w:rPr>
              <w:t xml:space="preserve"> κυττάρου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13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μπορεί να παράγει επίπεδα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μεταγράφων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μοναδιαίων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κυττάρων σε έως και 80.000 κύτταρα ανά πείραμα.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14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επιτρέπει την δημιουργία περισσοτέρων από 90.000 ξεχωριστών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μικροδιαμερισμάτων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τάξης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νανολίτρου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χρησιμοποιώντας περί τα 1.3 εκατομμύρια μοναδικούς ιχνηθέτες 16 βάσεων.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15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Η πλατφόρμα να δύναται να συλλέγει κύτταρα με μεγάλη απόδοση έως και 65%.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16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Η πλατφόρμα να έχει χαμηλό βαθμό παραγωγής διπλών κυττάρων (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doublet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rate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>) όχι ανώτερο του 0,9% ανά 1000 κύτταρα.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17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Η πλατφόρμα να δύναται να συναρμολογήσει και χαρακτηρίσει (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assembly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and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characterization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>) αλληλουχίες πλήρους μήκους των γονιδίων V(D)J.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18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δύναται να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ζευγοποιήσει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α και β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αλύσσους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αλληλουχιών TCR από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μοναδιαία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Τ κύτταρα.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19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δύναται να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ζευγοποιήσει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βαριές και ελαφριές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αλύσσους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ανοσοσφαιρινών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από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μοναδιαία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Β κύτταρα με πλήρη ανάλυση του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ισότυπου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τους.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20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δύναται να προσδιορίσει έκφραση TCR,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ανοσοσφαιρίνης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Ig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>, προσδιορισμού έκφρασης πρωτεϊνών κυτταρικής επιφανείας καθώς και 5’ γονιδιακής έκφρασης στα ίδια κύτταρα.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21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δύναται να συσχετίσει πλήρους μήκους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ζευγοποιημένες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TCR α και β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αλύσσους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με TCR-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pMHC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ειδικότητα.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22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Η πλατφόρμα να δύναται να προσδιορίσει ταυτόχρονα την έκφραση επιφανειακών πρωτεϊνών και τη γονιδιακή έκφραση.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23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συνοδεύεται από ολοκληρωμένη λύση πρωτοκόλλων ανάλυσης και λογισμικών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οπτικοποίησης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των αποτελεσμάτων τόσο για αρχαρίους όσο και έμπειρους χρήστες.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24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χρησιμοποιεί διάταξη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μικρορευστών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συμβατή με μεγάλη γκάμα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ευκαρυωτικών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κυττάρων διαφόρων κυτταρικών μεγεθών και τύπων (προσκολλημένες κυτταρικές καλλιέργειες, κυτταρικές καλλιέργειες σε εναιώρημα, ιστούς, αίμα).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25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επιτρέπει σύντομο χρόνο μέχρι τη λύση του κυττάρου επιτρέποντας τον ακριβή </w:t>
            </w:r>
            <w:r w:rsidRPr="00C41181">
              <w:rPr>
                <w:color w:val="000000"/>
                <w:szCs w:val="22"/>
                <w:lang w:val="el-GR" w:eastAsia="en-US"/>
              </w:rPr>
              <w:lastRenderedPageBreak/>
              <w:t xml:space="preserve">προσδιορισμό του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μεταγραφώματος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με ελάχιστη επίδραση στη γονιδιακή έκφραση.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lastRenderedPageBreak/>
              <w:t>26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l-GR" w:eastAsia="en-US"/>
              </w:rPr>
            </w:pPr>
            <w:r w:rsidRPr="00C41181">
              <w:rPr>
                <w:b/>
                <w:color w:val="000000"/>
                <w:szCs w:val="22"/>
                <w:lang w:val="el-GR" w:eastAsia="en-US"/>
              </w:rPr>
              <w:t>Προδιαγραφές δοκιμασίας έναντι χρωματίνης</w:t>
            </w:r>
            <w:r w:rsidRPr="00C41181">
              <w:rPr>
                <w:b/>
                <w:color w:val="000000"/>
                <w:szCs w:val="22"/>
                <w:lang w:val="el-GR" w:eastAsia="en-US"/>
              </w:rPr>
              <w:br/>
            </w:r>
            <w:proofErr w:type="spellStart"/>
            <w:r w:rsidRPr="00C41181">
              <w:rPr>
                <w:b/>
                <w:color w:val="000000"/>
                <w:szCs w:val="22"/>
                <w:lang w:val="el-GR" w:eastAsia="en-US"/>
              </w:rPr>
              <w:t>προσβάσιμης</w:t>
            </w:r>
            <w:proofErr w:type="spellEnd"/>
            <w:r w:rsidRPr="00C41181">
              <w:rPr>
                <w:b/>
                <w:color w:val="000000"/>
                <w:szCs w:val="22"/>
                <w:lang w:val="el-GR" w:eastAsia="en-US"/>
              </w:rPr>
              <w:t xml:space="preserve"> σε </w:t>
            </w:r>
            <w:proofErr w:type="spellStart"/>
            <w:r w:rsidRPr="00C41181">
              <w:rPr>
                <w:b/>
                <w:color w:val="000000"/>
                <w:szCs w:val="22"/>
                <w:lang w:val="el-GR" w:eastAsia="en-US"/>
              </w:rPr>
              <w:t>μεταθετάση</w:t>
            </w:r>
            <w:proofErr w:type="spellEnd"/>
            <w:r w:rsidRPr="00C41181">
              <w:rPr>
                <w:b/>
                <w:color w:val="000000"/>
                <w:szCs w:val="22"/>
                <w:lang w:val="el-GR" w:eastAsia="en-US"/>
              </w:rPr>
              <w:t xml:space="preserve"> (</w:t>
            </w:r>
            <w:r w:rsidRPr="00C41181">
              <w:rPr>
                <w:b/>
                <w:color w:val="000000"/>
                <w:szCs w:val="22"/>
                <w:lang w:val="en-US" w:eastAsia="en-US"/>
              </w:rPr>
              <w:t>ATAC</w:t>
            </w:r>
            <w:r w:rsidRPr="00C41181">
              <w:rPr>
                <w:b/>
                <w:color w:val="000000"/>
                <w:szCs w:val="22"/>
                <w:lang w:val="el-GR" w:eastAsia="en-US"/>
              </w:rPr>
              <w:t>) σε επίπεδο</w:t>
            </w:r>
            <w:r w:rsidRPr="00C41181">
              <w:rPr>
                <w:b/>
                <w:color w:val="000000"/>
                <w:szCs w:val="22"/>
                <w:lang w:val="el-GR" w:eastAsia="en-US"/>
              </w:rPr>
              <w:br/>
            </w:r>
            <w:proofErr w:type="spellStart"/>
            <w:r w:rsidRPr="00C41181">
              <w:rPr>
                <w:b/>
                <w:color w:val="000000"/>
                <w:szCs w:val="22"/>
                <w:lang w:val="el-GR" w:eastAsia="en-US"/>
              </w:rPr>
              <w:t>μοναδιαίου</w:t>
            </w:r>
            <w:proofErr w:type="spellEnd"/>
            <w:r w:rsidRPr="00C41181">
              <w:rPr>
                <w:b/>
                <w:color w:val="000000"/>
                <w:szCs w:val="22"/>
                <w:lang w:val="el-GR" w:eastAsia="en-US"/>
              </w:rPr>
              <w:t xml:space="preserve"> κυττάρου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27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δύναται να ανιχνεύσει περιοχές ανοικτής χρωματίνης σε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μοναδιαία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κύτταρα, εμπλουτισμένη για σήματα σε σημεία έναρξης μεταγραφής καθώς και ρυθμιστικές περιοχές.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28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Η πλατφόρμα να δύναται να αναλύσει 500-10000 πυρήνες ανά κανάλι επιτρέποντας επεκτάσιμη και υψηλής απόδοσης χρήση.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29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Η πλατφόρμα να δύναται να πραγματοποιεί αναλύσεις σε 8 ανεξάρτητα δείγματα ανά πείραμα.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30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επιτρέπει την ανάκτηση έως και 65% των πυρήνων που φορτώνονται στη διάταξη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μικρορευστών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>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31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δύναται να αναδεικνύει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επιγενετικούς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μηχανισμούς σε σπάνιους κυτταρικούς πληθυσμούς (έως και 0,5%) πολύπλοκων δειγμάτων.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32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επιτρέπει την αξιόπιστη ανάλυση κυτταρικών σειρών, κυττάρων, φρέσκων και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κρυοσυντηρημένων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δειγμάτων.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33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επιτρέπει την ανάλυση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επιγενετικών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δεδομένων από ολοκληρωμένη λύση πρωτοκόλλων ανάλυσης και λογισμικών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οπτικοποίησης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 xml:space="preserve"> των αποτελεσμάτων.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34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 xml:space="preserve">Η πλατφόρμα να είναι μικρή σε μέγεθος και βάρος, μη υπερβαίνοντας τα 6 </w:t>
            </w:r>
            <w:proofErr w:type="spellStart"/>
            <w:r w:rsidRPr="00C41181">
              <w:rPr>
                <w:color w:val="000000"/>
                <w:szCs w:val="22"/>
                <w:lang w:val="el-GR" w:eastAsia="en-US"/>
              </w:rPr>
              <w:t>kg</w:t>
            </w:r>
            <w:proofErr w:type="spellEnd"/>
            <w:r w:rsidRPr="00C41181">
              <w:rPr>
                <w:color w:val="000000"/>
                <w:szCs w:val="22"/>
                <w:lang w:val="el-GR" w:eastAsia="en-US"/>
              </w:rPr>
              <w:t>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193883" w:rsidRPr="00AE556B" w:rsidTr="00722B1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35</w:t>
            </w:r>
          </w:p>
        </w:tc>
        <w:tc>
          <w:tcPr>
            <w:tcW w:w="2881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rPr>
                <w:color w:val="000000"/>
                <w:szCs w:val="22"/>
                <w:lang w:val="el-GR" w:eastAsia="en-US"/>
              </w:rPr>
            </w:pPr>
            <w:r w:rsidRPr="00C41181">
              <w:rPr>
                <w:color w:val="000000"/>
                <w:szCs w:val="22"/>
                <w:lang w:val="el-GR" w:eastAsia="en-US"/>
              </w:rPr>
              <w:t>H πλατφόρμα να μην απαιτεί εξειδικευμένη ηλεκτρική παροχή μα να τροφοδοτείται από απλή πρίζα με γείωση.</w:t>
            </w: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55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33" w:type="pct"/>
            <w:vAlign w:val="center"/>
          </w:tcPr>
          <w:p w:rsidR="00193883" w:rsidRPr="00C41181" w:rsidRDefault="00193883" w:rsidP="00722B1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</w:tbl>
    <w:p w:rsidR="00193883" w:rsidRDefault="00193883" w:rsidP="00193883">
      <w:pPr>
        <w:pStyle w:val="Heading2"/>
        <w:tabs>
          <w:tab w:val="clear" w:pos="567"/>
          <w:tab w:val="left" w:pos="0"/>
        </w:tabs>
        <w:spacing w:before="0" w:after="120"/>
        <w:ind w:left="0" w:firstLine="0"/>
        <w:rPr>
          <w:rFonts w:ascii="Calibri" w:hAnsi="Calibri"/>
          <w:szCs w:val="24"/>
          <w:lang w:val="el-GR"/>
        </w:rPr>
      </w:pPr>
    </w:p>
    <w:p w:rsidR="00193883" w:rsidRDefault="00193883" w:rsidP="00193883">
      <w:pPr>
        <w:pStyle w:val="Heading2"/>
        <w:tabs>
          <w:tab w:val="clear" w:pos="567"/>
          <w:tab w:val="left" w:pos="0"/>
        </w:tabs>
        <w:spacing w:before="0" w:after="120"/>
        <w:ind w:left="0" w:firstLine="0"/>
        <w:rPr>
          <w:rFonts w:ascii="Calibri" w:hAnsi="Calibri"/>
          <w:szCs w:val="24"/>
          <w:lang w:val="el-GR"/>
        </w:rPr>
      </w:pPr>
    </w:p>
    <w:p w:rsidR="00193883" w:rsidRDefault="00193883" w:rsidP="00193883">
      <w:pPr>
        <w:rPr>
          <w:lang w:val="el-GR"/>
        </w:rPr>
      </w:pPr>
    </w:p>
    <w:p w:rsidR="00193883" w:rsidRDefault="00193883" w:rsidP="00193883">
      <w:pPr>
        <w:rPr>
          <w:lang w:val="el-GR"/>
        </w:rPr>
      </w:pPr>
    </w:p>
    <w:p w:rsidR="00193883" w:rsidRDefault="00193883" w:rsidP="00193883">
      <w:pPr>
        <w:rPr>
          <w:lang w:val="el-GR"/>
        </w:rPr>
      </w:pPr>
    </w:p>
    <w:p w:rsidR="00193883" w:rsidRDefault="00193883" w:rsidP="00193883">
      <w:pPr>
        <w:rPr>
          <w:lang w:val="el-GR"/>
        </w:rPr>
      </w:pPr>
    </w:p>
    <w:p w:rsidR="00193883" w:rsidRDefault="00193883" w:rsidP="00193883">
      <w:pPr>
        <w:rPr>
          <w:lang w:val="el-GR"/>
        </w:rPr>
      </w:pPr>
    </w:p>
    <w:p w:rsidR="00193883" w:rsidRDefault="00193883" w:rsidP="00193883">
      <w:pPr>
        <w:rPr>
          <w:lang w:val="el-GR"/>
        </w:rPr>
      </w:pPr>
    </w:p>
    <w:p w:rsidR="00193883" w:rsidRDefault="00193883" w:rsidP="00193883">
      <w:pPr>
        <w:rPr>
          <w:lang w:val="el-GR"/>
        </w:rPr>
      </w:pPr>
    </w:p>
    <w:p w:rsidR="00193883" w:rsidRDefault="00193883" w:rsidP="00193883">
      <w:pPr>
        <w:rPr>
          <w:lang w:val="el-GR"/>
        </w:rPr>
      </w:pPr>
    </w:p>
    <w:p w:rsidR="00193883" w:rsidRDefault="00193883" w:rsidP="00193883">
      <w:pPr>
        <w:rPr>
          <w:lang w:val="el-GR"/>
        </w:rPr>
      </w:pPr>
    </w:p>
    <w:p w:rsidR="00193883" w:rsidRPr="00193883" w:rsidRDefault="00193883">
      <w:pPr>
        <w:rPr>
          <w:lang w:val="el-GR"/>
        </w:rPr>
      </w:pPr>
    </w:p>
    <w:sectPr w:rsidR="00193883" w:rsidRPr="001938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83"/>
    <w:rsid w:val="00193883"/>
    <w:rsid w:val="001A685E"/>
    <w:rsid w:val="008678F7"/>
    <w:rsid w:val="0096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60AB1-B24F-48ED-B78E-F65D4CF1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88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8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93883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3883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normalwithoutspacing">
    <w:name w:val="normal_without_spacing"/>
    <w:basedOn w:val="Normal"/>
    <w:rsid w:val="00193883"/>
    <w:pPr>
      <w:spacing w:after="60"/>
    </w:pPr>
    <w:rPr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1938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2307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Παπαιωάννου</dc:creator>
  <cp:keywords/>
  <dc:description/>
  <cp:lastModifiedBy>Μαρία Αποστολάκη</cp:lastModifiedBy>
  <cp:revision>2</cp:revision>
  <dcterms:created xsi:type="dcterms:W3CDTF">2022-04-08T08:15:00Z</dcterms:created>
  <dcterms:modified xsi:type="dcterms:W3CDTF">2022-04-08T08:15:00Z</dcterms:modified>
</cp:coreProperties>
</file>