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C7" w:rsidRDefault="00E576C7">
      <w:bookmarkStart w:id="0" w:name="_GoBack"/>
      <w:bookmarkEnd w:id="0"/>
    </w:p>
    <w:p w:rsidR="00341685" w:rsidRDefault="00341685"/>
    <w:p w:rsidR="00341685" w:rsidRDefault="00341685">
      <w:pPr>
        <w:rPr>
          <w:rFonts w:ascii="Calibri" w:hAnsi="Calibri"/>
          <w:b/>
          <w:szCs w:val="24"/>
          <w:u w:val="single"/>
        </w:rPr>
      </w:pPr>
      <w:r w:rsidRPr="00341685">
        <w:rPr>
          <w:rFonts w:ascii="Calibri" w:hAnsi="Calibri"/>
          <w:b/>
          <w:szCs w:val="24"/>
          <w:u w:val="single"/>
        </w:rPr>
        <w:t>ΠΙΝΑΚΕΣ ΣΥΜΜΟΡΦΩΣΗΣ</w:t>
      </w:r>
    </w:p>
    <w:p w:rsidR="00341685" w:rsidRPr="00341685" w:rsidRDefault="00341685">
      <w:pPr>
        <w:rPr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341685" w:rsidRPr="00341685" w:rsidTr="00A44F2C">
        <w:tc>
          <w:tcPr>
            <w:tcW w:w="675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eastAsia="ar-SA"/>
              </w:rPr>
              <w:t>ΑΠΑΙΤΗΣΗ</w:t>
            </w:r>
          </w:p>
        </w:tc>
        <w:tc>
          <w:tcPr>
            <w:tcW w:w="1701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</w:p>
        </w:tc>
      </w:tr>
      <w:tr w:rsidR="00341685" w:rsidRPr="00341685" w:rsidTr="00A44F2C">
        <w:trPr>
          <w:trHeight w:val="37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Α/Α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ΤΕΧΝΙΚΕΣ ΠΡΟΔΙΑΓΡΑΦΕΣ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ΝΑΙ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ΟΧΙ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ΠΑΡΑΠΟΜΠΗ</w:t>
            </w:r>
          </w:p>
        </w:tc>
      </w:tr>
      <w:tr w:rsidR="00341685" w:rsidRPr="00341685" w:rsidTr="00A44F2C">
        <w:trPr>
          <w:trHeight w:val="6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341685">
              <w:rPr>
                <w:rFonts w:ascii="Calibri" w:eastAsia="Calibri" w:hAnsi="Calibri" w:cs="Calibri"/>
                <w:b/>
                <w:lang w:eastAsia="ar-SA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u w:val="single"/>
                <w:lang w:eastAsia="ar-SA"/>
              </w:rPr>
            </w:pPr>
            <w:proofErr w:type="spellStart"/>
            <w:r w:rsidRPr="00341685">
              <w:rPr>
                <w:rFonts w:ascii="Calibri" w:eastAsia="Times New Roman" w:hAnsi="Calibri" w:cs="Calibri"/>
                <w:b/>
                <w:u w:val="single"/>
                <w:lang w:eastAsia="ar-SA"/>
              </w:rPr>
              <w:t>Αντιοφικός</w:t>
            </w:r>
            <w:proofErr w:type="spellEnd"/>
            <w:r w:rsidRPr="00341685">
              <w:rPr>
                <w:rFonts w:ascii="Calibri" w:eastAsia="Times New Roman" w:hAnsi="Calibri" w:cs="Calibri"/>
                <w:b/>
                <w:u w:val="single"/>
                <w:lang w:eastAsia="ar-SA"/>
              </w:rPr>
              <w:t xml:space="preserve"> </w:t>
            </w:r>
            <w:proofErr w:type="spellStart"/>
            <w:r w:rsidRPr="00341685">
              <w:rPr>
                <w:rFonts w:ascii="Calibri" w:eastAsia="Times New Roman" w:hAnsi="Calibri" w:cs="Calibri"/>
                <w:b/>
                <w:u w:val="single"/>
                <w:lang w:eastAsia="ar-SA"/>
              </w:rPr>
              <w:t>ορρός</w:t>
            </w:r>
            <w:proofErr w:type="spellEnd"/>
          </w:p>
          <w:p w:rsidR="00341685" w:rsidRPr="00341685" w:rsidRDefault="00341685" w:rsidP="0034168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41685">
              <w:rPr>
                <w:rFonts w:ascii="Calibri" w:eastAsia="Times New Roman" w:hAnsi="Calibri" w:cs="Calibri"/>
                <w:lang w:eastAsia="ar-SA"/>
              </w:rPr>
              <w:t xml:space="preserve">Το προσφερόμενο σκεύασμα του </w:t>
            </w:r>
            <w:proofErr w:type="spellStart"/>
            <w:r w:rsidRPr="00341685">
              <w:rPr>
                <w:rFonts w:ascii="Calibri" w:eastAsia="Times New Roman" w:hAnsi="Calibri" w:cs="Calibri"/>
                <w:lang w:eastAsia="ar-SA"/>
              </w:rPr>
              <w:t>αντιοφικού</w:t>
            </w:r>
            <w:proofErr w:type="spellEnd"/>
            <w:r w:rsidRPr="00341685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proofErr w:type="spellStart"/>
            <w:r w:rsidRPr="00341685">
              <w:rPr>
                <w:rFonts w:ascii="Calibri" w:eastAsia="Times New Roman" w:hAnsi="Calibri" w:cs="Calibri"/>
                <w:lang w:eastAsia="ar-SA"/>
              </w:rPr>
              <w:t>ορρού</w:t>
            </w:r>
            <w:proofErr w:type="spellEnd"/>
            <w:r w:rsidRPr="00341685">
              <w:rPr>
                <w:rFonts w:ascii="Calibri" w:eastAsia="Times New Roman" w:hAnsi="Calibri" w:cs="Calibri"/>
                <w:lang w:eastAsia="ar-SA"/>
              </w:rPr>
              <w:t xml:space="preserve"> για ανθρώπινη χρήση πρέπει αποδεδειγμένα να επιδεικνύει ειδική ή/και διασταυρούμενη δραστικότητα των </w:t>
            </w:r>
            <w:proofErr w:type="spellStart"/>
            <w:r w:rsidRPr="00341685">
              <w:rPr>
                <w:rFonts w:ascii="Calibri" w:eastAsia="Times New Roman" w:hAnsi="Calibri" w:cs="Calibri"/>
                <w:lang w:eastAsia="ar-SA"/>
              </w:rPr>
              <w:t>εξουδετερωτικών</w:t>
            </w:r>
            <w:proofErr w:type="spellEnd"/>
            <w:r w:rsidRPr="00341685">
              <w:rPr>
                <w:rFonts w:ascii="Calibri" w:eastAsia="Times New Roman" w:hAnsi="Calibri" w:cs="Calibri"/>
                <w:lang w:eastAsia="ar-SA"/>
              </w:rPr>
              <w:t xml:space="preserve"> αντισωμάτων έναντι τουλάχιστον δύο τοξινών φιδιών (οχιές) που ενδημούν στην Ελλάδα (</w:t>
            </w:r>
            <w:proofErr w:type="spellStart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>Vipera</w:t>
            </w:r>
            <w:proofErr w:type="spellEnd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 xml:space="preserve"> </w:t>
            </w:r>
            <w:proofErr w:type="spellStart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>ammodytes</w:t>
            </w:r>
            <w:proofErr w:type="spellEnd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 xml:space="preserve">, </w:t>
            </w:r>
            <w:proofErr w:type="spellStart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>Vipera</w:t>
            </w:r>
            <w:proofErr w:type="spellEnd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 xml:space="preserve"> </w:t>
            </w:r>
            <w:proofErr w:type="spellStart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>berus</w:t>
            </w:r>
            <w:proofErr w:type="spellEnd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 xml:space="preserve">, </w:t>
            </w:r>
            <w:proofErr w:type="spellStart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>Vipera</w:t>
            </w:r>
            <w:proofErr w:type="spellEnd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 xml:space="preserve"> </w:t>
            </w:r>
            <w:proofErr w:type="spellStart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>ursinii</w:t>
            </w:r>
            <w:proofErr w:type="spellEnd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 xml:space="preserve">, </w:t>
            </w:r>
            <w:proofErr w:type="spellStart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>Montivipera</w:t>
            </w:r>
            <w:proofErr w:type="spellEnd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 xml:space="preserve"> </w:t>
            </w:r>
            <w:proofErr w:type="spellStart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>xanthina</w:t>
            </w:r>
            <w:proofErr w:type="spellEnd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 xml:space="preserve">, </w:t>
            </w:r>
            <w:proofErr w:type="spellStart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>Macrovipera</w:t>
            </w:r>
            <w:proofErr w:type="spellEnd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 xml:space="preserve"> </w:t>
            </w:r>
            <w:proofErr w:type="spellStart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>lebetina</w:t>
            </w:r>
            <w:proofErr w:type="spellEnd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 xml:space="preserve"> </w:t>
            </w:r>
            <w:proofErr w:type="spellStart"/>
            <w:r w:rsidRPr="00341685">
              <w:rPr>
                <w:rFonts w:ascii="Calibri" w:eastAsia="Times New Roman" w:hAnsi="Calibri" w:cs="Calibri"/>
                <w:i/>
                <w:lang w:eastAsia="ar-SA"/>
              </w:rPr>
              <w:t>schweizeri</w:t>
            </w:r>
            <w:proofErr w:type="spellEnd"/>
            <w:r w:rsidRPr="00341685">
              <w:rPr>
                <w:rFonts w:ascii="Calibri" w:eastAsia="Times New Roman" w:hAnsi="Calibri" w:cs="Calibri"/>
                <w:lang w:eastAsia="ar-SA"/>
              </w:rPr>
              <w:t>). Η αποτελεσματικότητα θα πρέπει να αποδεικνύεται κατ’ ελάχιστον, μέσω μελετών σε ζωικά πρότυπα προσδιορισμού της μέσης θανατηφόρου δόσης LD</w:t>
            </w:r>
            <w:r w:rsidRPr="00341685">
              <w:rPr>
                <w:rFonts w:ascii="Calibri" w:eastAsia="Times New Roman" w:hAnsi="Calibri" w:cs="Calibri"/>
                <w:vertAlign w:val="subscript"/>
                <w:lang w:eastAsia="ar-SA"/>
              </w:rPr>
              <w:t>50</w:t>
            </w:r>
            <w:r w:rsidRPr="00341685">
              <w:rPr>
                <w:rFonts w:ascii="Calibri" w:eastAsia="Times New Roman" w:hAnsi="Calibri" w:cs="Calibri"/>
                <w:lang w:eastAsia="ar-SA"/>
              </w:rPr>
              <w:t xml:space="preserve"> και μέσης δραστικής δόσης ED</w:t>
            </w:r>
            <w:r w:rsidRPr="00341685">
              <w:rPr>
                <w:rFonts w:ascii="Calibri" w:eastAsia="Times New Roman" w:hAnsi="Calibri" w:cs="Calibri"/>
                <w:vertAlign w:val="subscript"/>
                <w:lang w:eastAsia="ar-SA"/>
              </w:rPr>
              <w:t>50</w:t>
            </w:r>
            <w:r w:rsidRPr="00341685">
              <w:rPr>
                <w:rFonts w:ascii="Calibri" w:eastAsia="Times New Roman" w:hAnsi="Calibri" w:cs="Calibri"/>
                <w:lang w:eastAsia="ar-SA"/>
              </w:rPr>
              <w:t>. Επιπροσθέτως, είναι επιθυμητή η ύπαρξη δεδομένων επιτυχούς χρήσης του προσφερόμενου σκευάσματος στη χώρα μας, κατά τη διάρκεια προηγουμένων ετών.</w:t>
            </w:r>
          </w:p>
          <w:p w:rsidR="00341685" w:rsidRPr="00341685" w:rsidRDefault="00341685" w:rsidP="0034168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41685">
              <w:rPr>
                <w:rFonts w:ascii="Calibri" w:eastAsia="Times New Roman" w:hAnsi="Calibri" w:cs="Calibri"/>
                <w:lang w:eastAsia="ar-SA"/>
              </w:rPr>
              <w:t xml:space="preserve">Το συγκεκριμένο προϊόν θα πρέπει να πληροί τις ελάχιστες προδιαγραφές της τελευταίας έκδοσης της Ευρωπαϊκής Φαρμακοποιίας (0145) και τις απαιτήσεις  του Π.Ο.Υ., αναφορικά με τον έλεγχο και τον κανονισμό παραγωγής των </w:t>
            </w:r>
            <w:proofErr w:type="spellStart"/>
            <w:r w:rsidRPr="00341685">
              <w:rPr>
                <w:rFonts w:ascii="Calibri" w:eastAsia="Times New Roman" w:hAnsi="Calibri" w:cs="Calibri"/>
                <w:lang w:eastAsia="ar-SA"/>
              </w:rPr>
              <w:t>ανοσοσφαιρινών</w:t>
            </w:r>
            <w:proofErr w:type="spellEnd"/>
            <w:r w:rsidRPr="00341685">
              <w:rPr>
                <w:rFonts w:ascii="Calibri" w:eastAsia="Times New Roman" w:hAnsi="Calibri" w:cs="Calibri"/>
                <w:lang w:eastAsia="ar-SA"/>
              </w:rPr>
              <w:t xml:space="preserve"> έναντι τοξινών φιδιών (</w:t>
            </w:r>
            <w:r w:rsidRPr="00341685">
              <w:rPr>
                <w:rFonts w:ascii="Calibri" w:eastAsia="Times New Roman" w:hAnsi="Calibri" w:cs="Calibri"/>
                <w:lang w:val="en-US" w:eastAsia="ar-SA"/>
              </w:rPr>
              <w:t>WHO</w:t>
            </w:r>
            <w:r w:rsidRPr="00341685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341685">
              <w:rPr>
                <w:rFonts w:ascii="Calibri" w:eastAsia="Times New Roman" w:hAnsi="Calibri" w:cs="Calibri"/>
                <w:lang w:val="en-US" w:eastAsia="ar-SA"/>
              </w:rPr>
              <w:t>TRS</w:t>
            </w:r>
            <w:r w:rsidRPr="00341685">
              <w:rPr>
                <w:rFonts w:ascii="Calibri" w:eastAsia="Times New Roman" w:hAnsi="Calibri" w:cs="Calibri"/>
                <w:lang w:eastAsia="ar-SA"/>
              </w:rPr>
              <w:t xml:space="preserve"> 1004 </w:t>
            </w:r>
            <w:r w:rsidRPr="00341685">
              <w:rPr>
                <w:rFonts w:ascii="Calibri" w:eastAsia="Times New Roman" w:hAnsi="Calibri" w:cs="Calibri"/>
                <w:lang w:val="en-US" w:eastAsia="ar-SA"/>
              </w:rPr>
              <w:t>Annex</w:t>
            </w:r>
            <w:r w:rsidRPr="00341685">
              <w:rPr>
                <w:rFonts w:ascii="Calibri" w:eastAsia="Times New Roman" w:hAnsi="Calibri" w:cs="Calibri"/>
                <w:lang w:eastAsia="ar-SA"/>
              </w:rPr>
              <w:t xml:space="preserve"> 5) ή να ικανοποιεί ισοδύναμα με αυτά πρότυπα εφόσον αυτό τεκμηριώνεται εγγράφως.</w:t>
            </w:r>
          </w:p>
          <w:p w:rsidR="00341685" w:rsidRPr="00341685" w:rsidRDefault="00341685" w:rsidP="0034168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341685">
              <w:rPr>
                <w:rFonts w:ascii="Calibri" w:eastAsia="Times New Roman" w:hAnsi="Calibri" w:cs="Calibri"/>
                <w:lang w:eastAsia="ar-SA"/>
              </w:rPr>
              <w:t>Η συνολική ποσότητα του προϊόντος θα πρέπει να είναι διαθέσιμη πριν από την έναρξη της φετινής θερινής περιόδου</w:t>
            </w:r>
            <w:r w:rsidRPr="00341685">
              <w:rPr>
                <w:rFonts w:ascii="Calibri" w:eastAsia="Times New Roman" w:hAnsi="Calibri" w:cs="Calibri"/>
                <w:b/>
                <w:lang w:eastAsia="ar-SA"/>
              </w:rPr>
              <w:t>.</w:t>
            </w:r>
          </w:p>
          <w:p w:rsidR="00341685" w:rsidRPr="00341685" w:rsidRDefault="00341685" w:rsidP="0034168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41685" w:rsidRPr="00341685" w:rsidTr="00A44F2C">
        <w:tc>
          <w:tcPr>
            <w:tcW w:w="675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Α/Α</w:t>
            </w:r>
          </w:p>
        </w:tc>
        <w:tc>
          <w:tcPr>
            <w:tcW w:w="496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proofErr w:type="spellStart"/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Ειδικοί</w:t>
            </w:r>
            <w:proofErr w:type="spellEnd"/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 xml:space="preserve"> </w:t>
            </w:r>
            <w:proofErr w:type="spellStart"/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Όροι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ΝΑΙ</w:t>
            </w:r>
          </w:p>
        </w:tc>
        <w:tc>
          <w:tcPr>
            <w:tcW w:w="99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ΟΧΙ</w:t>
            </w:r>
          </w:p>
        </w:tc>
        <w:tc>
          <w:tcPr>
            <w:tcW w:w="1701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ΠΑΡΑΠΟΜΠΗ</w:t>
            </w:r>
          </w:p>
        </w:tc>
      </w:tr>
      <w:tr w:rsidR="00341685" w:rsidRPr="00341685" w:rsidTr="00A44F2C">
        <w:tc>
          <w:tcPr>
            <w:tcW w:w="675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0" w:line="240" w:lineRule="auto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341685">
              <w:rPr>
                <w:rFonts w:ascii="Calibri" w:eastAsia="Times New Roman" w:hAnsi="Calibri" w:cs="Calibri"/>
                <w:color w:val="000000"/>
                <w:lang w:val="en-GB" w:eastAsia="ar-SA"/>
              </w:rPr>
              <w:t>SPC</w:t>
            </w:r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t>) στην αγγλική, ή σε επικυρωμένη μετάφραση στην ελληνική γλώσσα.</w:t>
            </w:r>
          </w:p>
        </w:tc>
        <w:tc>
          <w:tcPr>
            <w:tcW w:w="850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41685" w:rsidRPr="00341685" w:rsidTr="00A44F2C">
        <w:tc>
          <w:tcPr>
            <w:tcW w:w="675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0" w:line="240" w:lineRule="auto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</w:t>
            </w:r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κράτος-μέλος της Ε.Ε. απαιτείται προηγούμενη έγκριση έκτακτης εισαγωγής από τον Εθνικό Οργανισμό Φαρμάκων (Ε.Ο.Φ.).</w:t>
            </w:r>
          </w:p>
        </w:tc>
        <w:tc>
          <w:tcPr>
            <w:tcW w:w="850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41685" w:rsidRPr="00341685" w:rsidTr="00A44F2C">
        <w:tc>
          <w:tcPr>
            <w:tcW w:w="675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0" w:line="240" w:lineRule="auto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341685">
              <w:rPr>
                <w:rFonts w:ascii="Calibri" w:eastAsia="Times New Roman" w:hAnsi="Calibri" w:cs="Calibri"/>
                <w:color w:val="000000"/>
                <w:lang w:val="en-GB" w:eastAsia="ar-SA"/>
              </w:rPr>
              <w:t>cGMP</w:t>
            </w:r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41685" w:rsidRPr="00341685" w:rsidTr="00A44F2C">
        <w:tc>
          <w:tcPr>
            <w:tcW w:w="675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t>Τα προσφερόμενα προϊόντα απαιτείται να φέρουν ταινία γνησιότητας</w:t>
            </w:r>
            <w:r w:rsidRPr="00341685">
              <w:rPr>
                <w:rFonts w:ascii="Calibri" w:eastAsia="Calibri" w:hAnsi="Calibri" w:cs="Calibri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41685" w:rsidRPr="00341685" w:rsidTr="00A44F2C">
        <w:tc>
          <w:tcPr>
            <w:tcW w:w="675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0" w:line="240" w:lineRule="auto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Η ημερομηνία λήξης των </w:t>
            </w:r>
            <w:proofErr w:type="spellStart"/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t>αντιοφικών</w:t>
            </w:r>
            <w:proofErr w:type="spellEnd"/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ορών  κατά την παράδοσή τους στις εγκαταστάσεις της Αναθέτουσας Αρχής δεν θα πρέπει να απέχει λιγότερο από δεκαοκτώ (18) έως 24 μήνες από την ημερομηνία παράδοσης.</w:t>
            </w:r>
          </w:p>
        </w:tc>
        <w:tc>
          <w:tcPr>
            <w:tcW w:w="850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41685" w:rsidRPr="00341685" w:rsidTr="00A44F2C">
        <w:trPr>
          <w:trHeight w:val="3378"/>
        </w:trPr>
        <w:tc>
          <w:tcPr>
            <w:tcW w:w="675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GB" w:eastAsia="ar-SA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t>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</w:tc>
        <w:tc>
          <w:tcPr>
            <w:tcW w:w="850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41685" w:rsidRPr="00341685" w:rsidTr="00A44F2C">
        <w:trPr>
          <w:trHeight w:val="86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b/>
                <w:lang w:val="en-US" w:eastAsia="ar-SA"/>
              </w:rPr>
            </w:pPr>
            <w:r w:rsidRPr="00341685">
              <w:rPr>
                <w:rFonts w:ascii="Calibri" w:eastAsia="Calibri" w:hAnsi="Calibri" w:cs="Calibri"/>
                <w:b/>
                <w:lang w:val="en-US" w:eastAsia="ar-SA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0" w:line="240" w:lineRule="auto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341685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41685" w:rsidRPr="00341685" w:rsidRDefault="00341685" w:rsidP="00341685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341685" w:rsidRDefault="00341685"/>
    <w:sectPr w:rsidR="003416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5"/>
    <w:rsid w:val="00341685"/>
    <w:rsid w:val="00413FE6"/>
    <w:rsid w:val="00E5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88F6D-A92C-4B1F-9546-D25C7148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Μαρία Αποστολάκη</cp:lastModifiedBy>
  <cp:revision>2</cp:revision>
  <dcterms:created xsi:type="dcterms:W3CDTF">2022-01-05T09:12:00Z</dcterms:created>
  <dcterms:modified xsi:type="dcterms:W3CDTF">2022-01-05T09:12:00Z</dcterms:modified>
</cp:coreProperties>
</file>