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82" w:rsidRDefault="00E84B82"/>
    <w:p w:rsidR="0058553F" w:rsidRPr="008169BF" w:rsidRDefault="0058553F" w:rsidP="0058553F">
      <w:pPr>
        <w:pStyle w:val="Heading2"/>
        <w:tabs>
          <w:tab w:val="clear" w:pos="567"/>
          <w:tab w:val="left" w:pos="0"/>
        </w:tabs>
        <w:spacing w:before="0" w:after="120"/>
        <w:ind w:left="0" w:firstLine="0"/>
        <w:rPr>
          <w:rFonts w:ascii="Calibri" w:hAnsi="Calibri"/>
          <w:szCs w:val="24"/>
          <w:lang w:val="el-GR"/>
        </w:rPr>
      </w:pPr>
      <w:r w:rsidRPr="008169BF">
        <w:rPr>
          <w:rFonts w:ascii="Calibri" w:hAnsi="Calibri"/>
          <w:szCs w:val="24"/>
          <w:lang w:val="el-GR"/>
        </w:rPr>
        <w:t>ΠΑΡΑΡΤΗΜΑ ΙΙ ΠΙΝΑΚΕΣ ΣΥΜΜΟΡΦΩΣΗΣ</w:t>
      </w:r>
    </w:p>
    <w:p w:rsidR="0058553F" w:rsidRDefault="0058553F" w:rsidP="0058553F">
      <w:pPr>
        <w:pStyle w:val="normalwithoutspacing"/>
        <w:spacing w:after="120"/>
        <w:rPr>
          <w:b/>
          <w:bCs/>
          <w:color w:val="000000"/>
          <w:sz w:val="24"/>
        </w:rPr>
      </w:pPr>
    </w:p>
    <w:p w:rsidR="0058553F" w:rsidRPr="00E94B94" w:rsidRDefault="0058553F" w:rsidP="0058553F">
      <w:pPr>
        <w:pStyle w:val="normalwithoutspacing"/>
        <w:spacing w:after="120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Ο</w:t>
      </w:r>
      <w:r w:rsidRPr="00E94B94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  <w:u w:val="single"/>
        </w:rPr>
        <w:t>Πίνακας</w:t>
      </w:r>
      <w:r w:rsidRPr="00D54FF6">
        <w:rPr>
          <w:b/>
          <w:bCs/>
          <w:color w:val="000000"/>
          <w:sz w:val="24"/>
          <w:u w:val="single"/>
        </w:rPr>
        <w:t xml:space="preserve"> Συμμόρφωσης</w:t>
      </w:r>
      <w:r w:rsidRPr="00E94B94">
        <w:rPr>
          <w:b/>
          <w:bCs/>
          <w:color w:val="000000"/>
          <w:sz w:val="24"/>
        </w:rPr>
        <w:t xml:space="preserve"> όπως παρατί</w:t>
      </w:r>
      <w:r>
        <w:rPr>
          <w:b/>
          <w:bCs/>
          <w:color w:val="000000"/>
          <w:sz w:val="24"/>
        </w:rPr>
        <w:t>θενται κάτωθι, αφού συμπληρωθεί</w:t>
      </w:r>
      <w:r w:rsidRPr="00E94B94">
        <w:rPr>
          <w:b/>
          <w:bCs/>
          <w:color w:val="000000"/>
          <w:sz w:val="24"/>
        </w:rPr>
        <w:t xml:space="preserve"> πλήρως, θα πρέπει</w:t>
      </w:r>
      <w:r>
        <w:rPr>
          <w:b/>
          <w:bCs/>
          <w:color w:val="000000"/>
          <w:sz w:val="24"/>
        </w:rPr>
        <w:t xml:space="preserve"> </w:t>
      </w:r>
      <w:r w:rsidRPr="00E94B94">
        <w:rPr>
          <w:b/>
          <w:bCs/>
          <w:color w:val="000000"/>
          <w:sz w:val="24"/>
        </w:rPr>
        <w:t>να</w:t>
      </w:r>
      <w:r>
        <w:rPr>
          <w:b/>
          <w:bCs/>
          <w:color w:val="000000"/>
          <w:sz w:val="24"/>
        </w:rPr>
        <w:t xml:space="preserve"> υποβληθεί</w:t>
      </w:r>
      <w:r w:rsidRPr="00E94B94">
        <w:rPr>
          <w:b/>
          <w:bCs/>
          <w:color w:val="000000"/>
          <w:sz w:val="24"/>
        </w:rPr>
        <w:t xml:space="preserve"> με την Τεχνική προσφορά του οικονομικού φορέα όπως απαιτείται βάσει της </w:t>
      </w:r>
      <w:r w:rsidRPr="00B21764">
        <w:rPr>
          <w:b/>
          <w:bCs/>
          <w:color w:val="000000"/>
          <w:sz w:val="24"/>
        </w:rPr>
        <w:t>παραγράφου 2.4.3.2 της διακήρυξης.</w:t>
      </w:r>
    </w:p>
    <w:p w:rsidR="0058553F" w:rsidRDefault="0058553F" w:rsidP="0058553F">
      <w:pPr>
        <w:suppressAutoHyphens w:val="0"/>
        <w:autoSpaceDE w:val="0"/>
        <w:rPr>
          <w:rFonts w:eastAsia="SimSun"/>
          <w:sz w:val="24"/>
          <w:lang w:val="el-GR"/>
        </w:rPr>
      </w:pPr>
      <w:r w:rsidRPr="00EB4D16">
        <w:rPr>
          <w:rFonts w:cs="Arial"/>
          <w:b/>
          <w:color w:val="002060"/>
          <w:sz w:val="24"/>
          <w:u w:val="single"/>
        </w:rPr>
        <w:t>ΟΜΑΔΑ 1: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5024"/>
        <w:gridCol w:w="655"/>
        <w:gridCol w:w="644"/>
        <w:gridCol w:w="1769"/>
      </w:tblGrid>
      <w:tr w:rsidR="0058553F" w:rsidRPr="00580998" w:rsidTr="0092476B">
        <w:trPr>
          <w:trHeight w:val="473"/>
          <w:jc w:val="center"/>
        </w:trPr>
        <w:tc>
          <w:tcPr>
            <w:tcW w:w="513" w:type="pct"/>
            <w:shd w:val="clear" w:color="auto" w:fill="D9D9D9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l-GR"/>
              </w:rPr>
            </w:pPr>
            <w:r w:rsidRPr="00580998">
              <w:rPr>
                <w:rFonts w:eastAsia="Calibri"/>
                <w:b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2786" w:type="pct"/>
            <w:shd w:val="clear" w:color="auto" w:fill="D9D9D9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l-GR"/>
              </w:rPr>
            </w:pPr>
            <w:r w:rsidRPr="00580998">
              <w:rPr>
                <w:rFonts w:eastAsia="Calibri"/>
                <w:b/>
                <w:sz w:val="20"/>
                <w:szCs w:val="20"/>
                <w:lang w:val="el-GR" w:eastAsia="el-GR"/>
              </w:rPr>
              <w:t>Τεχνικές προδιαγραφές</w:t>
            </w:r>
          </w:p>
        </w:tc>
        <w:tc>
          <w:tcPr>
            <w:tcW w:w="363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357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981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8553F" w:rsidRPr="00580998" w:rsidTr="0092476B">
        <w:trPr>
          <w:trHeight w:val="537"/>
          <w:jc w:val="center"/>
        </w:trPr>
        <w:tc>
          <w:tcPr>
            <w:tcW w:w="513" w:type="pct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>1.1</w:t>
            </w:r>
          </w:p>
        </w:tc>
        <w:tc>
          <w:tcPr>
            <w:tcW w:w="2786" w:type="pct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Θρεπτικό μέσο καλλιέργειας RPMI 1640 φιλτραρισμένο, αποστειρωμένο και  ελεγμένο για  βακτήρια σε αερόβιες και αναερόβιες  συνθήκες, καθώς και για μύκητες/ζύμες.  Να περιέχει 2.0 g/l NaHCO3,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Phenol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Red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Sodium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Salt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 5,3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mg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/l, χωρίς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γλουταμίνη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.  Να παρέχεται σε συσκευασία 500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63" w:type="pct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1" w:type="pct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580998" w:rsidTr="0092476B">
        <w:trPr>
          <w:trHeight w:val="422"/>
          <w:jc w:val="center"/>
        </w:trPr>
        <w:tc>
          <w:tcPr>
            <w:tcW w:w="513" w:type="pct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>1.2</w:t>
            </w:r>
          </w:p>
        </w:tc>
        <w:tc>
          <w:tcPr>
            <w:tcW w:w="2786" w:type="pct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Διαυγές υγρό θρεπτικό μέσο καλλιέργειας, φιλτραρισμένο, αποστειρωμένο και ελεγμένο για  βακτήρια σε αερόβιες και αναερόβιες  συνθήκες, καθώς και για μύκητες/ζύμες.  Στη βασική σύστασή του να περιλαμβάνονται: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Yeast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Extract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2 g/l,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Sodium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Bicarbonate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0.4 g/l, D-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Glucose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Anhydrous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2 g/l,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Calcium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Chloride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Anhydrous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0.6 g/l,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Magnesium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Sulfate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Anhydrous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1.807 g/l,  χωρίς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Hepes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, χωρίς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Phenol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Red. Να παρέχεται σε συσκευασία των 500ml.</w:t>
            </w:r>
          </w:p>
        </w:tc>
        <w:tc>
          <w:tcPr>
            <w:tcW w:w="363" w:type="pct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1" w:type="pct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580998" w:rsidTr="0092476B">
        <w:trPr>
          <w:trHeight w:val="401"/>
          <w:jc w:val="center"/>
        </w:trPr>
        <w:tc>
          <w:tcPr>
            <w:tcW w:w="513" w:type="pct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>1.3</w:t>
            </w:r>
          </w:p>
        </w:tc>
        <w:tc>
          <w:tcPr>
            <w:tcW w:w="2786" w:type="pct"/>
            <w:vAlign w:val="center"/>
          </w:tcPr>
          <w:p w:rsidR="0058553F" w:rsidRPr="00580998" w:rsidRDefault="0058553F" w:rsidP="0092476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Στείρο ρυθμιστικό διάλυμα HEPES για την καλλιέργεια κυττάρων, συγκέντρωσης 1M, συμπυκνωμένο 50x, με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pH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7.35-7.55. Να παρέχεται σε συσκευασία 100ml. </w:t>
            </w:r>
          </w:p>
        </w:tc>
        <w:tc>
          <w:tcPr>
            <w:tcW w:w="363" w:type="pct"/>
          </w:tcPr>
          <w:p w:rsidR="0058553F" w:rsidRPr="00580998" w:rsidRDefault="0058553F" w:rsidP="0092476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</w:tcPr>
          <w:p w:rsidR="0058553F" w:rsidRPr="00580998" w:rsidRDefault="0058553F" w:rsidP="0092476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1" w:type="pct"/>
          </w:tcPr>
          <w:p w:rsidR="0058553F" w:rsidRPr="00580998" w:rsidRDefault="0058553F" w:rsidP="0092476B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580998" w:rsidTr="0092476B">
        <w:trPr>
          <w:trHeight w:val="407"/>
          <w:jc w:val="center"/>
        </w:trPr>
        <w:tc>
          <w:tcPr>
            <w:tcW w:w="513" w:type="pct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>1.4</w:t>
            </w:r>
          </w:p>
        </w:tc>
        <w:tc>
          <w:tcPr>
            <w:tcW w:w="278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>Στείρο διάλυμα L-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glutamine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συγκέντρωσης 200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, χαμηλής περιεκτικότητας σε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ενδοτοξίνη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(&lt; 0,25 EU/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). Να παρέχεται σε συσκευασία 100ml.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580998" w:rsidTr="0092476B">
        <w:trPr>
          <w:trHeight w:val="427"/>
          <w:jc w:val="center"/>
        </w:trPr>
        <w:tc>
          <w:tcPr>
            <w:tcW w:w="513" w:type="pct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>1.5</w:t>
            </w:r>
          </w:p>
        </w:tc>
        <w:tc>
          <w:tcPr>
            <w:tcW w:w="278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Διάλυμα πενικιλίνης - στρεπτομυκίνης, συγκέντρωσης 10,000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units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σε πενικιλίνη και 10,000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μg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σε στρεπτομυκίνη, συμπυκνωμένο 100X. Να παρέχεται σε συσκευασία 100ml.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1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580998" w:rsidTr="0092476B">
        <w:trPr>
          <w:trHeight w:val="404"/>
          <w:jc w:val="center"/>
        </w:trPr>
        <w:tc>
          <w:tcPr>
            <w:tcW w:w="513" w:type="pct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>1.6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Ορός εμβρύου βοδιού (FBS), σταθεροποιημένος, εγκεκριμένος από EU. Να έχει απαραιτήτως σταθερή συμπεριφορά ανεξαρτήτως παρτίδας παραγωγής. Να παρέχεται σε συσκευασία 500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580998" w:rsidTr="0092476B">
        <w:trPr>
          <w:trHeight w:val="404"/>
          <w:jc w:val="center"/>
        </w:trPr>
        <w:tc>
          <w:tcPr>
            <w:tcW w:w="513" w:type="pct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>1.7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53F" w:rsidRPr="00AC7107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n-US" w:eastAsia="el-GR"/>
              </w:rPr>
              <w:t>Dimethyl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n-US" w:eastAsia="el-GR"/>
              </w:rPr>
              <w:t>Sulfuxide</w:t>
            </w:r>
            <w:proofErr w:type="spellEnd"/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cell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culture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grade</w:t>
            </w:r>
          </w:p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Διμεθυλοσουλφοξείδιο</w:t>
            </w:r>
            <w:proofErr w:type="spellEnd"/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βαθμός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καθαρότητας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min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>. 99.5 % (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GC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),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cell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culture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grade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ελεγμένο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για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ύπαρξη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πυρετογόνων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(</w:t>
            </w:r>
            <w:proofErr w:type="spellStart"/>
            <w:r w:rsidRPr="00580998">
              <w:rPr>
                <w:color w:val="000000"/>
                <w:sz w:val="20"/>
                <w:szCs w:val="20"/>
                <w:lang w:val="en-US" w:eastAsia="el-GR"/>
              </w:rPr>
              <w:t>Pyrogen</w:t>
            </w:r>
            <w:proofErr w:type="spellEnd"/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test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),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κατάλληλο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για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καλλιέργεια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και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κατάψυξη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κυττάρων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Περιεκτικότητα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σε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Total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P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: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max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. 0.00001 %,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Total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Si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: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max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. 0.00002 %,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Free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acid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: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max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. 0.001 %,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n-US" w:eastAsia="el-GR"/>
              </w:rPr>
              <w:t>Pb</w:t>
            </w:r>
            <w:proofErr w:type="spellEnd"/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: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max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. 0.00002 %,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Zn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: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max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. 0.00002 %,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Cu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: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max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. 0.00005 %,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Fe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: 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max</w:t>
            </w:r>
            <w:r w:rsidRPr="00AC7107">
              <w:rPr>
                <w:color w:val="000000"/>
                <w:sz w:val="20"/>
                <w:szCs w:val="20"/>
                <w:lang w:val="el-GR" w:eastAsia="el-GR"/>
              </w:rPr>
              <w:t xml:space="preserve">. 0.0001 %.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Με πιστοποιητικό ανάλυσης ανά παρτίδα. Συσκευασία 250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58553F" w:rsidRPr="00580998" w:rsidTr="0092476B">
        <w:trPr>
          <w:trHeight w:val="404"/>
          <w:jc w:val="center"/>
        </w:trPr>
        <w:tc>
          <w:tcPr>
            <w:tcW w:w="513" w:type="pct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>1</w:t>
            </w:r>
            <w:r w:rsidRPr="00580998">
              <w:rPr>
                <w:color w:val="000000"/>
                <w:sz w:val="20"/>
                <w:szCs w:val="20"/>
                <w:lang w:val="en-US" w:eastAsia="el-GR"/>
              </w:rPr>
              <w:t>.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Μη πτητικό απολυμαντικό διάλυμα για καθαρισμό κλιβάνων και εργαστηριακών πάγκων. Να εμποδίζει την </w:t>
            </w:r>
            <w:r w:rsidRPr="00580998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 xml:space="preserve">ανάπτυξη  μυκήτων, βακτηρίων και των σπόρων τους,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μυκοπλάσματος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 xml:space="preserve"> και ιών. Να είναι βιοδιασπώμενο, μη-τοξικό και ασφαλές για τον χρήστη. Συσκευασία 500 </w:t>
            </w:r>
            <w:proofErr w:type="spellStart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580998">
              <w:rPr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580998" w:rsidTr="0092476B">
        <w:trPr>
          <w:trHeight w:val="404"/>
          <w:jc w:val="center"/>
        </w:trPr>
        <w:tc>
          <w:tcPr>
            <w:tcW w:w="513" w:type="pct"/>
            <w:vAlign w:val="center"/>
          </w:tcPr>
          <w:p w:rsidR="0058553F" w:rsidRPr="002633D1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val="en-US" w:eastAsia="el-GR"/>
              </w:rPr>
              <w:lastRenderedPageBreak/>
              <w:t>1.9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53F" w:rsidRPr="002633D1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2633D1">
              <w:rPr>
                <w:color w:val="000000"/>
                <w:sz w:val="20"/>
                <w:szCs w:val="20"/>
                <w:lang w:val="el-GR" w:eastAsia="el-GR"/>
              </w:rPr>
              <w:t>Η διάρκεια ζωής του προϊόντος πρέπει να μην είναι μικρότερη των 24 μηνών.</w:t>
            </w:r>
          </w:p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E07801" w:rsidRDefault="00E07801" w:rsidP="0058553F">
      <w:pPr>
        <w:suppressAutoHyphens w:val="0"/>
        <w:autoSpaceDE w:val="0"/>
        <w:rPr>
          <w:rFonts w:cs="Arial"/>
          <w:b/>
          <w:color w:val="002060"/>
          <w:sz w:val="24"/>
          <w:u w:val="single"/>
        </w:rPr>
      </w:pPr>
    </w:p>
    <w:p w:rsidR="00E07801" w:rsidRDefault="00E07801" w:rsidP="0058553F">
      <w:pPr>
        <w:suppressAutoHyphens w:val="0"/>
        <w:autoSpaceDE w:val="0"/>
        <w:rPr>
          <w:rFonts w:cs="Arial"/>
          <w:b/>
          <w:color w:val="002060"/>
          <w:sz w:val="24"/>
          <w:u w:val="single"/>
        </w:rPr>
      </w:pPr>
    </w:p>
    <w:p w:rsidR="0058553F" w:rsidRDefault="0058553F" w:rsidP="0058553F">
      <w:pPr>
        <w:suppressAutoHyphens w:val="0"/>
        <w:autoSpaceDE w:val="0"/>
        <w:rPr>
          <w:rFonts w:cs="Arial"/>
          <w:b/>
          <w:color w:val="002060"/>
          <w:sz w:val="24"/>
          <w:u w:val="single"/>
        </w:rPr>
      </w:pPr>
      <w:r>
        <w:rPr>
          <w:rFonts w:cs="Arial"/>
          <w:b/>
          <w:color w:val="002060"/>
          <w:sz w:val="24"/>
          <w:u w:val="single"/>
        </w:rPr>
        <w:t>ΟΜΑΔΑ 2</w:t>
      </w:r>
      <w:r w:rsidRPr="00EB4D16">
        <w:rPr>
          <w:rFonts w:cs="Arial"/>
          <w:b/>
          <w:color w:val="002060"/>
          <w:sz w:val="24"/>
          <w:u w:val="single"/>
        </w:rPr>
        <w:t>:</w:t>
      </w:r>
    </w:p>
    <w:p w:rsidR="0058553F" w:rsidRDefault="0058553F" w:rsidP="0058553F">
      <w:pPr>
        <w:suppressAutoHyphens w:val="0"/>
        <w:autoSpaceDE w:val="0"/>
        <w:rPr>
          <w:rFonts w:eastAsia="SimSun"/>
          <w:sz w:val="24"/>
          <w:lang w:val="el-GR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101"/>
        <w:gridCol w:w="3027"/>
        <w:gridCol w:w="909"/>
        <w:gridCol w:w="907"/>
        <w:gridCol w:w="1496"/>
      </w:tblGrid>
      <w:tr w:rsidR="0058553F" w:rsidRPr="00EB4D16" w:rsidTr="0092476B">
        <w:trPr>
          <w:trHeight w:val="473"/>
          <w:jc w:val="center"/>
        </w:trPr>
        <w:tc>
          <w:tcPr>
            <w:tcW w:w="290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l-GR"/>
              </w:rPr>
            </w:pPr>
            <w:r w:rsidRPr="00EB4D16">
              <w:rPr>
                <w:rFonts w:eastAsia="Calibri"/>
                <w:b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1068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l-GR"/>
              </w:rPr>
            </w:pPr>
            <w:r w:rsidRPr="00EB4D16">
              <w:rPr>
                <w:rFonts w:eastAsia="Calibri"/>
                <w:b/>
                <w:sz w:val="20"/>
                <w:szCs w:val="20"/>
                <w:lang w:val="el-GR" w:eastAsia="el-GR"/>
              </w:rPr>
              <w:t>Είδος</w:t>
            </w:r>
          </w:p>
        </w:tc>
        <w:tc>
          <w:tcPr>
            <w:tcW w:w="1793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l-GR"/>
              </w:rPr>
            </w:pPr>
            <w:r w:rsidRPr="00EB4D16">
              <w:rPr>
                <w:rFonts w:eastAsia="Calibri"/>
                <w:b/>
                <w:sz w:val="20"/>
                <w:szCs w:val="20"/>
                <w:lang w:val="el-GR" w:eastAsia="el-GR"/>
              </w:rPr>
              <w:t>Τεχνικές προδιαγραφές</w:t>
            </w:r>
          </w:p>
        </w:tc>
        <w:tc>
          <w:tcPr>
            <w:tcW w:w="617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616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616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8553F" w:rsidRPr="00EB4D16" w:rsidTr="0092476B">
        <w:trPr>
          <w:trHeight w:val="313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>2.1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Σωληνάρια πολυπροπυλενίου 15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93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Σωλήνες φυγοκέντρου 15ml, διαστάσεων Ø 17mm x  120mm, με βιδωτό καπάκι και κωνικό πυθμένα.  Από πολυπροπυλένιο (PP) χωρίς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βαρέα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μέταλλα, αποστειρωμένα, χωρίς ανιχνεύσιμα επίπεδα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δεοξυριβονουκλεασών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ανθρώπινου DNA, χωρίς πυρετογόνα και μη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κυτταροτοξικά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Σε ουδέτερο χρώμα, με μπλε διαγράμμιση ενδιάμεσων όγκων και περιοχή για σημείωση.   Υψηλής θερμικής (-196°C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to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+121°C για σωλήνα) και χημικής αντοχής.  Να δύνανται να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φυγοκεντρηθούν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σε υψηλές στροφές (4.000xg σε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swinging-bucket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rotor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15.000xg σε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fixed-angle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rotor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).  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Συσκευασία 100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  </w:t>
            </w:r>
          </w:p>
        </w:tc>
        <w:tc>
          <w:tcPr>
            <w:tcW w:w="617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31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>2.2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Σωληνάρια πολυπροπυλενίου 50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793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Σωλήνες φυγοκέντρου 50ml, διαστάσεων Ø 30mm x  115mm, με βιδωτό καπάκι και κωνικό πυθμένα.  Από πολυπροπυλένιο (PP) χωρίς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βαρέα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μέταλλα, αποστειρωμένα, χωρίς ανιχνεύσιμα επίπεδα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δεοξυριβονουκλεασών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ανθρώπινου DNA, χωρίς πυρετογόνα και μη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κυτταροτοξικά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Σε ουδέτερο χρώμα, με μπλε διαγράμμιση ενδιάμεσων όγκων και περιοχή για σημείωση.   Υψηλής θερμικής (-196°C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to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+121°C - για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σωληνα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) και χημικής αντοχής.  Να δύνανται να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φυγοκεντρηθούν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σε υψηλές στροφές (3.200xg σε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swinging-bucket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rotor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17.000xg σε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fixed-angle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rotor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).  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Συσκευασία 20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  </w:t>
            </w:r>
          </w:p>
        </w:tc>
        <w:tc>
          <w:tcPr>
            <w:tcW w:w="617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22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lastRenderedPageBreak/>
              <w:t>2.3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Σωληνάρια τύπου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Eppendorf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1,5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793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Σωληνάρια 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μικροφυγοκέντρου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 1.5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με ενσωματωμένο καπάκι.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Aπό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πολυπροπυλένιο (PP), χωρίς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βαρέα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μέταλλα, χωρίς ανιχνεύσιμα επίπεδα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δεοξυριβονουκλεασών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ανθρώπινου DNA και χωρίς πυρετογόνα. Σε ουδέτερο χρώμα, με διαγράμμιση ενδιάμεσων όγκων. Υψηλής θερμικής (-80°C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to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+121°C) και χημικής αντοχής.  Να δύνανται να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φυγοκεντρηθούν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σε υψηλές στροφές (18000 x g: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fixed-angle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rotor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).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Συσκευασία 500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 </w:t>
            </w:r>
          </w:p>
        </w:tc>
        <w:tc>
          <w:tcPr>
            <w:tcW w:w="617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AC7107" w:rsidTr="0092476B">
        <w:trPr>
          <w:trHeight w:val="401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>2.4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Μικροπλάκες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καλλιέργειας, 96 θέσεων, επίπεδης βάσης</w:t>
            </w:r>
          </w:p>
        </w:tc>
        <w:tc>
          <w:tcPr>
            <w:tcW w:w="1793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Μικροπλάκες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κυτταροκαλλιέργειας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96 θέσεων με καπάκι. Με  επίπεδο πυθμένα και εσωτερική επιφάνεια ειδικά επεξεργασμένη για βελτιστοποιημένη προσκόλληση των κυττάρων.   Με "υπερυψωμένα" πηγαδάκια (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chimney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well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)  και "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δακτύλιους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 συμπύκνωσης" στο καπάκι, για προστασία από επιμολύνσεις μεταξύ των δειγμάτων.  Να έχουν αλφαριθμητική σήμανση των θέσεων  της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μικροπλάκας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Από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πολυστυρένιο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 χωρίς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βαρέα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μέταλλα, υψηλής ευκρίνειας  για  χρήση σε μικροσκοπία.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Σε ατομική συσκευασία, αποστειρωμένες,  χωρίς ανιχνεύσιμα επίπεδα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δεοξυριβονουκλεασών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ανθρώπινου DNA, χωρίς πυρετογόνα και μη -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κυτταροτοξικές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.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n-US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Να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t>συμμορφώνονται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με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t>τις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t>οδηγίες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 xml:space="preserve"> ANSI/SBS 1-2004 (American National Standards Institute).</w:t>
            </w:r>
          </w:p>
        </w:tc>
        <w:tc>
          <w:tcPr>
            <w:tcW w:w="617" w:type="pct"/>
          </w:tcPr>
          <w:p w:rsidR="0058553F" w:rsidRPr="00AC7107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16" w:type="pct"/>
          </w:tcPr>
          <w:p w:rsidR="0058553F" w:rsidRPr="00AC7107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16" w:type="pct"/>
          </w:tcPr>
          <w:p w:rsidR="0058553F" w:rsidRPr="00AC7107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58553F" w:rsidRPr="00EB4D16" w:rsidTr="0092476B">
        <w:trPr>
          <w:trHeight w:val="401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>2.5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Μικροπλάκες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καλλιέργειας, 24 θέσεων</w:t>
            </w:r>
          </w:p>
        </w:tc>
        <w:tc>
          <w:tcPr>
            <w:tcW w:w="1793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Μικροπλάκες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κυτταροκαλλιέργειας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24 θέσεων με καπάκι. Με εσωτερική επιφάνεια ειδικά επεξεργασμένη για βελτιστοποιημένη προσκόλληση των κυττάρων.  Να έχουν αλφαριθμητική σήμανση των θέσεων της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μικροπλάκας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το  καπάκι  να τοποθετείται προς μία μόνο κατεύθυνση πάνω στην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να φέρει "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δακτύλιους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 συμπύκνωσης" για προστασία από επιμολύνσεις  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 xml:space="preserve">μεταξύ των δειγμάτων.   Από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πολυστυρένιο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 χωρίς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βαρέα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μέταλλα,  υψηλής ευκρίνειας και χαμηλού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αυτοφθορισμού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, για χρήση σε μικροσκοπία.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Σε ατομική συσκευασία, αποστειρωμένες,  χωρίς ανιχνεύσιμα επίπεδα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δεοξυριβονουκλεασών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ανθρώπινου DNA, χωρίς πυρετογόνα και μη -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κυτταροτοξικές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17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07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lastRenderedPageBreak/>
              <w:t>2.6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Μικροπλάκες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ELISA 96 θέσεων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Μικροπλάκες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ELISA 96 θέσεων, με επίπεδο πυθμένα  και εσωτερική επιφάνεια ειδικά επεξεργασμένη για ενισχυμένη πρόσδεση πρωτεϊνών. Με αλφαριθμητική σήμανση των θέσεων της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μικροπλάκας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Από καθαρό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πολυστυρένιο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κατάλληλο για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φωτομέτρηση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.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Κατασκευή σύμφωνα με τις οδηγίες  DIN ISO 9001. Χωρίς ανιχνεύσιμα επίπεδα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δεοξυριβονουκλεασών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ανθρώπινου DNA και χωρίς πυρετογόνα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Κιβώτιο των 40 τεμαχίων σε πακέτα των 10.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27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>2.7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Πλάκες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μικροτιτλοποίησης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, 96 θέσεων με κωνικό πυθμένα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Πλάκες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μικροτιτλοποίησης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96 θέσεων,  με κωνικό πυθμένα σχήματος V.   Από διαφανές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πολυστυρένιο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χωρίς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βαρέα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μέταλλα.  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Κατασκευή σύμφωνα με τις οδηγίες  DIN ISO 9001. Χωρίς ανιχνεύσιμα επίπεδα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δεοξυριβονουκλεασών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ανθρώπινου DNA και χωρίς πυρετογόνα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Κιβώτιο των 100 τεμαχίων σε πακέτα των 10.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>2.8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Πλάκες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μικροτιτλοποίησης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, 96 θέσεων, επίπεδης βάσης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Πλάκες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μικροτιτλοποίησης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96 θέσεων, με επίπεδο πυθμένα.   Από διαφανές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πολυστυρένιο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χωρίς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βαρέα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μέταλλα, για οπτικές μετρήσεις ακρίβειας. 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Κατασκευή σύμφωνα με τις οδηγίες  DIN ISO 9001. Χωρίς ανιχνεύσιμα επίπεδα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δεοξυριβονουκλεασών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ανθρώπινου DNA και χωρίς πυρετογόνα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Κιβώτιο των 100 τεμαχίων σε πακέτα των 10.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lastRenderedPageBreak/>
              <w:t>2.9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Κρυοφιαλίδια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2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Κρυοφιαλίδια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των 2ml,  CE/IVD,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στεκούμενα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με οβάλ πυθμένα και εσωτερικό πώμα (με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λαστιχο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σιλικόνης). Με διαβάθμιση όγκου και επιφάνεια σήμανσης. 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n-US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Αντοχή σε θερμοκρασίες από -196oC  έως +121oC. 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>A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ντοχή</w:t>
            </w:r>
            <w:proofErr w:type="spellEnd"/>
            <w:r w:rsidRPr="00EB4D16">
              <w:rPr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t>έως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 xml:space="preserve"> 5800 x g (swing rotor) 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και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t>έως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 xml:space="preserve"> 34000 x g (fixed angle rotor).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Κατασκευή από  πολυπροπυλένιο (PP), χωρίς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βαρέα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μέταλλα. Αποστειρωμένα (SAL 10-6), μη-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κυτταροτοξικά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χωρίς ανιχνεύσιμα επίπεδα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δεοξυριβονουκλεασών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ανθρώπινου DNA και χωρίς πυρετογόνα.  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Επιλογή χρώματος (τουλάχιστον 4 διαφορετικά) στα καπάκια των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κρυοφιαλιδίων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για διευκόλυνση στην ταυτοποίηση των δειγμάτων.</w:t>
            </w:r>
          </w:p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Συσκευασία των 100 τεμαχίων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>2.10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Αυτοκόλλητα για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μικροπλάκες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96 θέσεων</w:t>
            </w:r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Αυτοκόλλητα φιλμ διαστάσεων 80x140mm, για κάλυψη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μικροπλακών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προστασία των δειγμάτων. Να είναι κατάλληλο για οπτικές μετρήσεις (π.χ.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Elisa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). Συσκευασία των 100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>2.11</w:t>
            </w:r>
          </w:p>
        </w:tc>
        <w:tc>
          <w:tcPr>
            <w:tcW w:w="1068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Cell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scrapers</w:t>
            </w:r>
            <w:proofErr w:type="spellEnd"/>
          </w:p>
        </w:tc>
        <w:tc>
          <w:tcPr>
            <w:tcW w:w="1793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Cell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Scraper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για τη συλλογή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προσκολλητικών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κυττάρων από φλάσκες ή πιάτων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κυταροκαλλιεργειών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. Να διαθέτουν λεπίδα (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Blade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) από ΗDPE με πλάτος 1,8 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>c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m. Να έχουν μήκος 28 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>cm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Να είναι ελεύθερα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βαρέων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μετάλλων. Να είναι αποστειρωμένα και σε ατομική συσκευασία.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290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2</w:t>
            </w:r>
            <w:r w:rsidRPr="00EB4D16">
              <w:rPr>
                <w:color w:val="000000"/>
                <w:sz w:val="20"/>
                <w:szCs w:val="20"/>
                <w:lang w:val="en-US" w:eastAsia="el-GR"/>
              </w:rPr>
              <w:t>.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0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>Ένθετα (</w:t>
            </w:r>
            <w:r w:rsidRPr="00EB4D16">
              <w:rPr>
                <w:sz w:val="20"/>
                <w:szCs w:val="20"/>
                <w:lang w:val="en-US" w:eastAsia="el-GR"/>
              </w:rPr>
              <w:t>inserts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)  από καθαρό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πολυστυρένιο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, για  χρήση σε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κυτταροακαλλιέργειες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.  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Ένθετα (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inserts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)  από καθαρό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πολυστυρένιο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για  χρήση σε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κυτταροακαλλιέργειες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 Κατάλληλα για πλάκες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κυτταροκαλιέργειας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 των 12 πηγαδιών,  με διαφανή μεμβράνη PET χωρίς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βαρέα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μέταλλα, και διάμετρο πόρων 8.0 µm. Η χωρητικότητα (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working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volume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) στο ένθετο να είναι  0.3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- 1.0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 και η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εσωτ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./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εξωτ.διάμετρός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του να είναι 13.85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/ 15.85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Αποστειρωμένα (SAL 10-3), χωρίς ανιχνεύσιμα επίπεδα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δεοξυριβονουκλεασών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ριβονουκλεασών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 και ανθρώπινου </w:t>
            </w:r>
            <w:r w:rsidRPr="00EB4D16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 xml:space="preserve">DNA, χωρίς πυρετογόνα και μη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κυτταροτοξικά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 xml:space="preserve">.  48 ένθετα / </w:t>
            </w:r>
            <w:proofErr w:type="spellStart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  <w:r w:rsidRPr="00EB4D16">
              <w:rPr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58553F" w:rsidRDefault="0058553F" w:rsidP="0058553F">
      <w:pPr>
        <w:suppressAutoHyphens w:val="0"/>
        <w:autoSpaceDE w:val="0"/>
        <w:rPr>
          <w:rFonts w:eastAsia="SimSun"/>
          <w:sz w:val="24"/>
          <w:lang w:val="el-GR"/>
        </w:rPr>
      </w:pPr>
    </w:p>
    <w:p w:rsidR="0058553F" w:rsidRDefault="0058553F" w:rsidP="0058553F">
      <w:pPr>
        <w:rPr>
          <w:lang w:val="el-GR"/>
        </w:rPr>
      </w:pPr>
    </w:p>
    <w:p w:rsidR="0058553F" w:rsidRDefault="0058553F" w:rsidP="0058553F">
      <w:pPr>
        <w:rPr>
          <w:lang w:val="el-GR"/>
        </w:rPr>
      </w:pPr>
    </w:p>
    <w:p w:rsidR="0058553F" w:rsidRDefault="0058553F" w:rsidP="0058553F">
      <w:pPr>
        <w:suppressAutoHyphens w:val="0"/>
        <w:autoSpaceDE w:val="0"/>
        <w:rPr>
          <w:rFonts w:cs="Arial"/>
          <w:b/>
          <w:color w:val="002060"/>
          <w:sz w:val="24"/>
          <w:u w:val="single"/>
        </w:rPr>
      </w:pPr>
      <w:r>
        <w:rPr>
          <w:rFonts w:cs="Arial"/>
          <w:b/>
          <w:color w:val="002060"/>
          <w:sz w:val="24"/>
          <w:u w:val="single"/>
        </w:rPr>
        <w:t>ΟΜΑΔΑ 3</w:t>
      </w:r>
      <w:r w:rsidRPr="00EB4D16">
        <w:rPr>
          <w:rFonts w:cs="Arial"/>
          <w:b/>
          <w:color w:val="002060"/>
          <w:sz w:val="24"/>
          <w:u w:val="single"/>
        </w:rPr>
        <w:t>:</w:t>
      </w:r>
    </w:p>
    <w:p w:rsidR="0058553F" w:rsidRDefault="0058553F" w:rsidP="0058553F">
      <w:pPr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705"/>
        <w:gridCol w:w="3398"/>
        <w:gridCol w:w="9"/>
        <w:gridCol w:w="857"/>
        <w:gridCol w:w="784"/>
        <w:gridCol w:w="1496"/>
      </w:tblGrid>
      <w:tr w:rsidR="0058553F" w:rsidRPr="00EB4D16" w:rsidTr="0092476B">
        <w:trPr>
          <w:trHeight w:val="473"/>
          <w:jc w:val="center"/>
        </w:trPr>
        <w:tc>
          <w:tcPr>
            <w:tcW w:w="437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EB4D16">
              <w:rPr>
                <w:rFonts w:eastAsia="Calibri"/>
                <w:b/>
                <w:sz w:val="20"/>
                <w:szCs w:val="20"/>
                <w:lang w:val="el-GR" w:eastAsia="en-US"/>
              </w:rPr>
              <w:t>A/A</w:t>
            </w:r>
          </w:p>
        </w:tc>
        <w:tc>
          <w:tcPr>
            <w:tcW w:w="957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EB4D16">
              <w:rPr>
                <w:rFonts w:eastAsia="Calibri"/>
                <w:b/>
                <w:sz w:val="20"/>
                <w:szCs w:val="20"/>
                <w:lang w:val="el-GR" w:eastAsia="en-US"/>
              </w:rPr>
              <w:t>Είδος</w:t>
            </w:r>
          </w:p>
        </w:tc>
        <w:tc>
          <w:tcPr>
            <w:tcW w:w="1896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EB4D16">
              <w:rPr>
                <w:rFonts w:eastAsia="Calibri"/>
                <w:b/>
                <w:sz w:val="20"/>
                <w:szCs w:val="20"/>
                <w:lang w:val="el-GR" w:eastAsia="en-US"/>
              </w:rPr>
              <w:t>Τεχνικές προδιαγραφές</w:t>
            </w:r>
          </w:p>
        </w:tc>
        <w:tc>
          <w:tcPr>
            <w:tcW w:w="503" w:type="pct"/>
            <w:gridSpan w:val="2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446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760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8553F" w:rsidRPr="00EB4D16" w:rsidTr="0092476B">
        <w:trPr>
          <w:trHeight w:val="537"/>
          <w:jc w:val="center"/>
        </w:trPr>
        <w:tc>
          <w:tcPr>
            <w:tcW w:w="43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3.1</w:t>
            </w:r>
          </w:p>
        </w:tc>
        <w:tc>
          <w:tcPr>
            <w:tcW w:w="95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 xml:space="preserve">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αντι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-</w:t>
            </w:r>
            <w:r w:rsidRPr="00EB4D16">
              <w:rPr>
                <w:sz w:val="20"/>
                <w:szCs w:val="20"/>
                <w:lang w:val="en-US" w:eastAsia="el-GR"/>
              </w:rPr>
              <w:t>CD</w:t>
            </w:r>
            <w:r w:rsidRPr="00EB4D16">
              <w:rPr>
                <w:sz w:val="20"/>
                <w:szCs w:val="20"/>
                <w:lang w:val="el-GR" w:eastAsia="el-GR"/>
              </w:rPr>
              <w:t>206 (</w:t>
            </w:r>
            <w:r w:rsidRPr="00EB4D16">
              <w:rPr>
                <w:sz w:val="20"/>
                <w:szCs w:val="20"/>
                <w:lang w:val="en-US" w:eastAsia="el-GR"/>
              </w:rPr>
              <w:t>MMR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) ποντικού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σημασμένο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με </w:t>
            </w:r>
            <w:r w:rsidRPr="00EB4D16">
              <w:rPr>
                <w:sz w:val="20"/>
                <w:szCs w:val="20"/>
                <w:lang w:val="en-US" w:eastAsia="el-GR"/>
              </w:rPr>
              <w:t>FITC</w:t>
            </w:r>
          </w:p>
        </w:tc>
        <w:tc>
          <w:tcPr>
            <w:tcW w:w="189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Μονοκλωνικό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ισότυπου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ΙgG2</w:t>
            </w:r>
            <w:r w:rsidRPr="00EB4D16">
              <w:rPr>
                <w:sz w:val="20"/>
                <w:szCs w:val="20"/>
                <w:lang w:val="en-US" w:eastAsia="el-GR"/>
              </w:rPr>
              <w:t>a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,κ (κλώνος C068C2) που έχει παραχθεί σε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επίμυες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έναντι της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ανασυνδυασμένης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πρωτεΐνης </w:t>
            </w:r>
            <w:r w:rsidRPr="00EB4D16">
              <w:rPr>
                <w:sz w:val="20"/>
                <w:szCs w:val="20"/>
                <w:lang w:val="en-US" w:eastAsia="el-GR"/>
              </w:rPr>
              <w:t>CD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206 του ποντικού. . Να είναι συζευγμένο με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φλουοροσκεΐνη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(FITC). Να είναι κατάλληλο για ενδοκυττάρια χρώση σε πρωτόκολλα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κυτταρομετρίας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ροής. Να παρέχεται σε συγκέντρωση 0,5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/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σε υδατικό διάλυμα φωσφορικών,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ρΗ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7.2, που περιέχει 0,09%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αζίδιο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του νατρίου και συσκευασία 50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/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kit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03" w:type="pct"/>
            <w:gridSpan w:val="2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4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760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31"/>
          <w:jc w:val="center"/>
        </w:trPr>
        <w:tc>
          <w:tcPr>
            <w:tcW w:w="43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3.2</w:t>
            </w:r>
          </w:p>
        </w:tc>
        <w:tc>
          <w:tcPr>
            <w:tcW w:w="95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 xml:space="preserve">Αντίσωμα αντι-CD163 ποντικού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σημασμένο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με PE</w:t>
            </w:r>
          </w:p>
        </w:tc>
        <w:tc>
          <w:tcPr>
            <w:tcW w:w="189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Μονοκλωνικό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ισότυπου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IgG2</w:t>
            </w:r>
            <w:r w:rsidRPr="00EB4D16">
              <w:rPr>
                <w:sz w:val="20"/>
                <w:szCs w:val="20"/>
                <w:lang w:val="en-US" w:eastAsia="el-GR"/>
              </w:rPr>
              <w:t>a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, </w:t>
            </w:r>
            <w:r w:rsidRPr="00EB4D16">
              <w:rPr>
                <w:sz w:val="20"/>
                <w:szCs w:val="20"/>
                <w:lang w:val="en-US" w:eastAsia="el-GR"/>
              </w:rPr>
              <w:t>k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 (κλώνος  </w:t>
            </w:r>
            <w:r w:rsidRPr="00EB4D16">
              <w:rPr>
                <w:sz w:val="20"/>
                <w:szCs w:val="20"/>
                <w:lang w:val="en-US" w:eastAsia="el-GR"/>
              </w:rPr>
              <w:t>S</w:t>
            </w:r>
            <w:r w:rsidRPr="00EB4D16">
              <w:rPr>
                <w:sz w:val="20"/>
                <w:szCs w:val="20"/>
                <w:lang w:val="el-GR" w:eastAsia="el-GR"/>
              </w:rPr>
              <w:t>15049</w:t>
            </w:r>
            <w:r w:rsidRPr="00EB4D16">
              <w:rPr>
                <w:sz w:val="20"/>
                <w:szCs w:val="20"/>
                <w:lang w:val="en-US" w:eastAsia="el-GR"/>
              </w:rPr>
              <w:t>F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) που έχει παραχθεί σε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επίμυες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έναντι της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ανασυνδυασμένης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εξωκυττάριας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περιοχής της πρωτεΐνης </w:t>
            </w:r>
            <w:r w:rsidRPr="00EB4D16">
              <w:rPr>
                <w:sz w:val="20"/>
                <w:szCs w:val="20"/>
                <w:lang w:val="en-US" w:eastAsia="el-GR"/>
              </w:rPr>
              <w:t>CD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163 του ποντικού. Να είναι συζευγμένο με PE. Να είναι κατάλληλο για πρωτόκολλα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κυτταρομετρίας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ροής. Να παρέχεται σε συγκέντρωση 0,2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/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σε υδατικό ρυθμιστικό διάλυμα που περιέχει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αζίδιο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του αζώτου ≤0.09% και συσκευασία 25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/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kit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03" w:type="pct"/>
            <w:gridSpan w:val="2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4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760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22"/>
          <w:jc w:val="center"/>
        </w:trPr>
        <w:tc>
          <w:tcPr>
            <w:tcW w:w="43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3.3</w:t>
            </w:r>
          </w:p>
        </w:tc>
        <w:tc>
          <w:tcPr>
            <w:tcW w:w="95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 xml:space="preserve">Αντίσωμα αντι-IL-10 ποντικού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σημασμένο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με FITC</w:t>
            </w:r>
          </w:p>
        </w:tc>
        <w:tc>
          <w:tcPr>
            <w:tcW w:w="189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Μονοκλωνικό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ισότυπου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IgG2b (κλώνος JES-16E3) που έχει παραχθεί σε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επίμυες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έναντι της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ανασυνδυασμένης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πρωτεΐνης ΙL-10 του ποντικού. Να είναι συζευγμένο με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φλουοροσκεΐνη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(FITC). Να είναι κατάλληλο για ενδοκυττάρια χρώση σε πρωτόκολλα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κυτταρομετρίας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ροής για την ταυτοποίηση και ποσοτικοποίηση των κυττάρων που παράγουν IL-10. Να παρέχεται σε συγκέντρωση 0,5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/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σε υδατικό ρυθμιστικό διάλυμα που περιέχει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αζίδιο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του αζώτου ≤0.09% και συσκευασία 100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/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kit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03" w:type="pct"/>
            <w:gridSpan w:val="2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46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760" w:type="pct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07"/>
          <w:jc w:val="center"/>
        </w:trPr>
        <w:tc>
          <w:tcPr>
            <w:tcW w:w="43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3.4</w:t>
            </w:r>
          </w:p>
        </w:tc>
        <w:tc>
          <w:tcPr>
            <w:tcW w:w="95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 xml:space="preserve">Αντίσωμα αντι-CD86 ποντικού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σημασμένο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με </w:t>
            </w:r>
            <w:r w:rsidRPr="00EB4D16">
              <w:rPr>
                <w:sz w:val="20"/>
                <w:szCs w:val="20"/>
                <w:lang w:val="en-US" w:eastAsia="el-GR"/>
              </w:rPr>
              <w:t>PE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Μονοκλωνικό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ισότυπου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IgG2a, κ (κλώνος </w:t>
            </w:r>
            <w:r w:rsidRPr="00EB4D16">
              <w:rPr>
                <w:sz w:val="20"/>
                <w:szCs w:val="20"/>
                <w:lang w:val="en-US" w:eastAsia="el-GR"/>
              </w:rPr>
              <w:t>A</w:t>
            </w:r>
            <w:r w:rsidRPr="00EB4D16">
              <w:rPr>
                <w:sz w:val="20"/>
                <w:szCs w:val="20"/>
                <w:lang w:val="el-GR" w:eastAsia="el-GR"/>
              </w:rPr>
              <w:t>17199</w:t>
            </w:r>
            <w:r w:rsidRPr="00EB4D16">
              <w:rPr>
                <w:sz w:val="20"/>
                <w:szCs w:val="20"/>
                <w:lang w:val="en-US" w:eastAsia="el-GR"/>
              </w:rPr>
              <w:t>A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) που έχει παραχθεί σε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επίμυες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έναντι του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ανασυνδυασμένου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</w:t>
            </w:r>
            <w:r w:rsidRPr="00EB4D16">
              <w:rPr>
                <w:sz w:val="20"/>
                <w:szCs w:val="20"/>
                <w:lang w:val="en-US" w:eastAsia="el-GR"/>
              </w:rPr>
              <w:t>CD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86 ποντικού. Να </w:t>
            </w:r>
            <w:r w:rsidRPr="00EB4D16">
              <w:rPr>
                <w:sz w:val="20"/>
                <w:szCs w:val="20"/>
                <w:lang w:val="el-GR" w:eastAsia="el-GR"/>
              </w:rPr>
              <w:lastRenderedPageBreak/>
              <w:t xml:space="preserve">είναι συζευγμένο με </w:t>
            </w:r>
            <w:r w:rsidRPr="00EB4D16">
              <w:rPr>
                <w:sz w:val="20"/>
                <w:szCs w:val="20"/>
                <w:lang w:val="en-US" w:eastAsia="el-GR"/>
              </w:rPr>
              <w:t>PE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. Να είναι κατάλληλο για πρωτόκολλα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κυτταρομετρίας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ροής. Να παρέχεται σε συγκέντρωση 0.2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/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σε υδατικό ρυθμιστικό διάλυμα φωσφορικών,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pΗ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7.2, που περιέχει 0.09%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αζίδιο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του νατρίου και συσκευασία 25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/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kit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27"/>
          <w:jc w:val="center"/>
        </w:trPr>
        <w:tc>
          <w:tcPr>
            <w:tcW w:w="43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>3.5</w:t>
            </w:r>
          </w:p>
        </w:tc>
        <w:tc>
          <w:tcPr>
            <w:tcW w:w="95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 xml:space="preserve">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αντι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-</w:t>
            </w:r>
            <w:r w:rsidRPr="00EB4D16">
              <w:rPr>
                <w:sz w:val="20"/>
                <w:szCs w:val="20"/>
                <w:lang w:val="en-US" w:eastAsia="el-GR"/>
              </w:rPr>
              <w:t>CD</w:t>
            </w:r>
            <w:r w:rsidRPr="00EB4D16">
              <w:rPr>
                <w:sz w:val="20"/>
                <w:szCs w:val="20"/>
                <w:lang w:val="el-GR" w:eastAsia="el-GR"/>
              </w:rPr>
              <w:t>273 (Β7-</w:t>
            </w:r>
            <w:r w:rsidRPr="00EB4D16">
              <w:rPr>
                <w:sz w:val="20"/>
                <w:szCs w:val="20"/>
                <w:lang w:val="en-US" w:eastAsia="el-GR"/>
              </w:rPr>
              <w:t>DC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, </w:t>
            </w:r>
            <w:r w:rsidRPr="00EB4D16">
              <w:rPr>
                <w:sz w:val="20"/>
                <w:szCs w:val="20"/>
                <w:lang w:val="en-US" w:eastAsia="el-GR"/>
              </w:rPr>
              <w:t>PD</w:t>
            </w:r>
            <w:r w:rsidRPr="00EB4D16">
              <w:rPr>
                <w:sz w:val="20"/>
                <w:szCs w:val="20"/>
                <w:lang w:val="el-GR" w:eastAsia="el-GR"/>
              </w:rPr>
              <w:t>-</w:t>
            </w:r>
            <w:r w:rsidRPr="00EB4D16">
              <w:rPr>
                <w:sz w:val="20"/>
                <w:szCs w:val="20"/>
                <w:lang w:val="en-US" w:eastAsia="el-GR"/>
              </w:rPr>
              <w:t>L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2) ποντικού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σημασμένο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με 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Μονοκλωνικό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ισότυπου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IgG2a, κ (κλώνος A17199A) που έχει παραχθεί σε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επίμυες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έναντι κυτταρικής σειράς ποντικού που εκφράζει το μόριο Β7-</w:t>
            </w:r>
            <w:r w:rsidRPr="00EB4D16">
              <w:rPr>
                <w:sz w:val="20"/>
                <w:szCs w:val="20"/>
                <w:lang w:val="en-US" w:eastAsia="el-GR"/>
              </w:rPr>
              <w:t>DC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.  Να είναι συζευγμένο με PE. Να είναι κατάλληλο για πρωτόκολλα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κυτταρομετρίας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ροής. Να παρέχεται σε συγκέντρωση 0.2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/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σε υδατικό ρυθμιστικό διάλυμα φωσφορικών,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pΗ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7.2, που περιέχει 0.09%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αζίδιο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του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νατρίο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και συσκευασία 50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/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kit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43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EB4D16">
              <w:rPr>
                <w:color w:val="000000"/>
                <w:sz w:val="20"/>
                <w:szCs w:val="20"/>
                <w:lang w:val="el-GR" w:eastAsia="el-GR"/>
              </w:rPr>
              <w:t>3.6</w:t>
            </w:r>
          </w:p>
        </w:tc>
        <w:tc>
          <w:tcPr>
            <w:tcW w:w="95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 xml:space="preserve">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αντι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-</w:t>
            </w:r>
            <w:r w:rsidRPr="00EB4D16">
              <w:rPr>
                <w:sz w:val="20"/>
                <w:szCs w:val="20"/>
                <w:lang w:val="en-US" w:eastAsia="el-GR"/>
              </w:rPr>
              <w:t>CD</w:t>
            </w:r>
            <w:r w:rsidRPr="00EB4D16">
              <w:rPr>
                <w:sz w:val="20"/>
                <w:szCs w:val="20"/>
                <w:lang w:val="el-GR" w:eastAsia="el-GR"/>
              </w:rPr>
              <w:t>64 (</w:t>
            </w:r>
            <w:r w:rsidRPr="00EB4D16">
              <w:rPr>
                <w:sz w:val="20"/>
                <w:szCs w:val="20"/>
                <w:lang w:val="en-US" w:eastAsia="el-GR"/>
              </w:rPr>
              <w:t>Fc</w:t>
            </w:r>
            <w:r w:rsidRPr="00EB4D16">
              <w:rPr>
                <w:sz w:val="20"/>
                <w:szCs w:val="20"/>
                <w:lang w:val="el-GR" w:eastAsia="el-GR"/>
              </w:rPr>
              <w:t>γ</w:t>
            </w:r>
            <w:r w:rsidRPr="00EB4D16">
              <w:rPr>
                <w:sz w:val="20"/>
                <w:szCs w:val="20"/>
                <w:lang w:val="en-US" w:eastAsia="el-GR"/>
              </w:rPr>
              <w:t>RI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) ποντικού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σημασμένο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με </w:t>
            </w:r>
            <w:r w:rsidRPr="00EB4D16">
              <w:rPr>
                <w:sz w:val="20"/>
                <w:szCs w:val="20"/>
                <w:lang w:val="en-US" w:eastAsia="el-GR"/>
              </w:rPr>
              <w:t>FITC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Μονοκλωνικό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ισότυπου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IgG1, κ (κλώνος </w:t>
            </w:r>
            <w:r w:rsidRPr="00EB4D16">
              <w:rPr>
                <w:sz w:val="20"/>
                <w:szCs w:val="20"/>
                <w:lang w:val="en-US" w:eastAsia="el-GR"/>
              </w:rPr>
              <w:t>X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54-5/7.1) που έχει παραχθεί σε ποντικούς έναντι της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συντηγμένης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πρωτεΐνης που αποτελείται από την </w:t>
            </w:r>
            <w:r w:rsidRPr="00EB4D16">
              <w:rPr>
                <w:sz w:val="20"/>
                <w:szCs w:val="20"/>
                <w:lang w:val="en-US" w:eastAsia="el-GR"/>
              </w:rPr>
              <w:t>BALB</w:t>
            </w:r>
            <w:r w:rsidRPr="00EB4D16">
              <w:rPr>
                <w:sz w:val="20"/>
                <w:szCs w:val="20"/>
                <w:lang w:val="el-GR" w:eastAsia="el-GR"/>
              </w:rPr>
              <w:t>/</w:t>
            </w:r>
            <w:r w:rsidRPr="00EB4D16">
              <w:rPr>
                <w:sz w:val="20"/>
                <w:szCs w:val="20"/>
                <w:lang w:val="en-US" w:eastAsia="el-GR"/>
              </w:rPr>
              <w:t>c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 </w:t>
            </w:r>
            <w:r w:rsidRPr="00EB4D16">
              <w:rPr>
                <w:sz w:val="20"/>
                <w:szCs w:val="20"/>
                <w:lang w:val="en-US" w:eastAsia="el-GR"/>
              </w:rPr>
              <w:t>Fc</w:t>
            </w:r>
            <w:r w:rsidRPr="00EB4D16">
              <w:rPr>
                <w:sz w:val="20"/>
                <w:szCs w:val="20"/>
                <w:lang w:val="el-GR" w:eastAsia="el-GR"/>
              </w:rPr>
              <w:t>γ</w:t>
            </w:r>
            <w:r w:rsidRPr="00EB4D16">
              <w:rPr>
                <w:sz w:val="20"/>
                <w:szCs w:val="20"/>
                <w:lang w:val="en-US" w:eastAsia="el-GR"/>
              </w:rPr>
              <w:t>RI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 και την ανθρώπινης </w:t>
            </w:r>
            <w:proofErr w:type="spellStart"/>
            <w:r w:rsidRPr="00EB4D16">
              <w:rPr>
                <w:sz w:val="20"/>
                <w:szCs w:val="20"/>
                <w:lang w:val="en-US" w:eastAsia="el-GR"/>
              </w:rPr>
              <w:t>IgG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</w:t>
            </w:r>
            <w:r w:rsidRPr="00EB4D16">
              <w:rPr>
                <w:sz w:val="20"/>
                <w:szCs w:val="20"/>
                <w:lang w:val="en-US" w:eastAsia="el-GR"/>
              </w:rPr>
              <w:t>Fc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. Να αναγνωρίζει τα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αλλοαντιγόνα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</w:t>
            </w:r>
            <w:r w:rsidRPr="00EB4D16">
              <w:rPr>
                <w:sz w:val="20"/>
                <w:szCs w:val="20"/>
                <w:lang w:val="en-US" w:eastAsia="el-GR"/>
              </w:rPr>
              <w:t>CD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64 </w:t>
            </w:r>
            <w:r w:rsidRPr="00EB4D16">
              <w:rPr>
                <w:sz w:val="20"/>
                <w:szCs w:val="20"/>
                <w:lang w:val="en-US" w:eastAsia="el-GR"/>
              </w:rPr>
              <w:t>a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 και </w:t>
            </w:r>
            <w:r w:rsidRPr="00EB4D16">
              <w:rPr>
                <w:sz w:val="20"/>
                <w:szCs w:val="20"/>
                <w:lang w:val="en-US" w:eastAsia="el-GR"/>
              </w:rPr>
              <w:t>b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 ποντικού. Να είναι συζευγμένο με </w:t>
            </w:r>
            <w:r w:rsidRPr="00EB4D16">
              <w:rPr>
                <w:sz w:val="20"/>
                <w:szCs w:val="20"/>
                <w:lang w:val="en-US" w:eastAsia="el-GR"/>
              </w:rPr>
              <w:t>FITC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. Να είναι κατάλληλο για πρωτόκολλα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κυτταρομετρίας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ροής. Να παρέχεται σε συγκέντρωση 0.5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/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σε   υδατικό ρυθμιστικό διάλυμα φωσφορικών,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pΗ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7.2, και συσκευασία 25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/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kit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43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 w:rsidRPr="00EB4D16">
              <w:rPr>
                <w:color w:val="000000"/>
                <w:sz w:val="20"/>
                <w:szCs w:val="20"/>
                <w:lang w:val="en-US" w:eastAsia="el-GR"/>
              </w:rPr>
              <w:t>3.7</w:t>
            </w:r>
          </w:p>
        </w:tc>
        <w:tc>
          <w:tcPr>
            <w:tcW w:w="95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 xml:space="preserve">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αντι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-</w:t>
            </w:r>
            <w:proofErr w:type="spellStart"/>
            <w:r w:rsidRPr="00EB4D16">
              <w:rPr>
                <w:sz w:val="20"/>
                <w:szCs w:val="20"/>
                <w:lang w:val="en-US" w:eastAsia="el-GR"/>
              </w:rPr>
              <w:t>TNFa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ποντικού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σημασμένο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με </w:t>
            </w:r>
            <w:r w:rsidRPr="00EB4D16">
              <w:rPr>
                <w:sz w:val="20"/>
                <w:szCs w:val="20"/>
                <w:lang w:val="en-US" w:eastAsia="el-GR"/>
              </w:rPr>
              <w:t>FITC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Μονοκλωνικό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ισότυπου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IgG1, κ (κλώνος </w:t>
            </w:r>
            <w:r w:rsidRPr="00EB4D16">
              <w:rPr>
                <w:sz w:val="20"/>
                <w:szCs w:val="20"/>
                <w:lang w:val="en-US" w:eastAsia="el-GR"/>
              </w:rPr>
              <w:t>MP</w:t>
            </w:r>
            <w:r w:rsidRPr="00EB4D16">
              <w:rPr>
                <w:sz w:val="20"/>
                <w:szCs w:val="20"/>
                <w:lang w:val="el-GR" w:eastAsia="el-GR"/>
              </w:rPr>
              <w:t>6-</w:t>
            </w:r>
            <w:r w:rsidRPr="00EB4D16">
              <w:rPr>
                <w:sz w:val="20"/>
                <w:szCs w:val="20"/>
                <w:lang w:val="en-US" w:eastAsia="el-GR"/>
              </w:rPr>
              <w:t>XT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22) που έχει παραχθεί σε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επίμυες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έναντι της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ανασυνδυασμένης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πρωτεΐνης </w:t>
            </w:r>
            <w:r w:rsidRPr="00EB4D16">
              <w:rPr>
                <w:sz w:val="20"/>
                <w:szCs w:val="20"/>
                <w:lang w:val="en-US" w:eastAsia="el-GR"/>
              </w:rPr>
              <w:t>TNF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α ποντικού που εκφράζεται σε </w:t>
            </w:r>
            <w:r w:rsidRPr="00EB4D16">
              <w:rPr>
                <w:sz w:val="20"/>
                <w:szCs w:val="20"/>
                <w:lang w:val="en-US" w:eastAsia="el-GR"/>
              </w:rPr>
              <w:t>E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. </w:t>
            </w:r>
            <w:proofErr w:type="gramStart"/>
            <w:r w:rsidRPr="00EB4D16">
              <w:rPr>
                <w:sz w:val="20"/>
                <w:szCs w:val="20"/>
                <w:lang w:val="en-US" w:eastAsia="el-GR"/>
              </w:rPr>
              <w:t>coli</w:t>
            </w:r>
            <w:proofErr w:type="gramEnd"/>
            <w:r w:rsidRPr="00EB4D16">
              <w:rPr>
                <w:sz w:val="20"/>
                <w:szCs w:val="20"/>
                <w:lang w:val="el-GR" w:eastAsia="el-GR"/>
              </w:rPr>
              <w:t xml:space="preserve">. Να είναι συζευγμένο με </w:t>
            </w:r>
            <w:r w:rsidRPr="00EB4D16">
              <w:rPr>
                <w:sz w:val="20"/>
                <w:szCs w:val="20"/>
                <w:lang w:val="en-US" w:eastAsia="el-GR"/>
              </w:rPr>
              <w:t>FITC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.  Να είναι κατάλληλο για ενδοκυττάρια χρώση σε πρωτόκολλα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κυτταρομετρίας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ροής για την ταυτοποίηση και ποσοτικοποίηση των κυττάρων που παράγουν </w:t>
            </w:r>
            <w:r w:rsidRPr="00EB4D16">
              <w:rPr>
                <w:sz w:val="20"/>
                <w:szCs w:val="20"/>
                <w:lang w:val="en-US" w:eastAsia="el-GR"/>
              </w:rPr>
              <w:t>TNF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α. Να παρέχεται σε συγκέντρωση 0.5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/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σε υδατικό ρυθμιστικό διάλυμα φωσφορικών,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pΗ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7.2, που περιέχει 0.09%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αζίδιο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του νατρίου και συσκευασία 100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ή 400 τεστ. Να είναι για ερευνητική χρήση.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43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 w:rsidRPr="00EB4D16">
              <w:rPr>
                <w:color w:val="000000"/>
                <w:sz w:val="20"/>
                <w:szCs w:val="20"/>
                <w:lang w:val="en-US" w:eastAsia="el-GR"/>
              </w:rPr>
              <w:t>3.8</w:t>
            </w:r>
          </w:p>
        </w:tc>
        <w:tc>
          <w:tcPr>
            <w:tcW w:w="957" w:type="pct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r w:rsidRPr="00EB4D16">
              <w:rPr>
                <w:sz w:val="20"/>
                <w:szCs w:val="20"/>
                <w:lang w:val="el-GR" w:eastAsia="el-GR"/>
              </w:rPr>
              <w:t xml:space="preserve">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αντι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-</w:t>
            </w:r>
            <w:r w:rsidRPr="00EB4D16">
              <w:rPr>
                <w:sz w:val="20"/>
                <w:szCs w:val="20"/>
                <w:lang w:val="en-US" w:eastAsia="el-GR"/>
              </w:rPr>
              <w:t>CD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3 ποντικού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σημασμένο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με </w:t>
            </w:r>
            <w:r w:rsidRPr="00EB4D16">
              <w:rPr>
                <w:sz w:val="20"/>
                <w:szCs w:val="20"/>
                <w:lang w:val="en-US" w:eastAsia="el-GR"/>
              </w:rPr>
              <w:t>APC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Μονοκλωνικό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αντίσωμα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ισότυπου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IgG2</w:t>
            </w:r>
            <w:r w:rsidRPr="00EB4D16">
              <w:rPr>
                <w:sz w:val="20"/>
                <w:szCs w:val="20"/>
                <w:lang w:val="en-US" w:eastAsia="el-GR"/>
              </w:rPr>
              <w:t>b</w:t>
            </w:r>
            <w:r w:rsidRPr="00EB4D16">
              <w:rPr>
                <w:sz w:val="20"/>
                <w:szCs w:val="20"/>
                <w:lang w:val="el-GR" w:eastAsia="el-GR"/>
              </w:rPr>
              <w:t>, κ (κλώνος 17</w:t>
            </w:r>
            <w:r w:rsidRPr="00EB4D16">
              <w:rPr>
                <w:sz w:val="20"/>
                <w:szCs w:val="20"/>
                <w:lang w:val="en-US" w:eastAsia="el-GR"/>
              </w:rPr>
              <w:t>A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2) που έχει παραχθεί σε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επίμυες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έναντι της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γδ</w:t>
            </w:r>
            <w:proofErr w:type="spellEnd"/>
            <w:r w:rsidRPr="00EB4D16">
              <w:rPr>
                <w:sz w:val="20"/>
                <w:szCs w:val="20"/>
                <w:lang w:val="en-US" w:eastAsia="el-GR"/>
              </w:rPr>
              <w:t>TCR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-θετικού Τ-Τ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υβριδώματος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</w:t>
            </w:r>
            <w:r w:rsidRPr="00EB4D16">
              <w:rPr>
                <w:sz w:val="20"/>
                <w:szCs w:val="20"/>
                <w:lang w:val="en-US" w:eastAsia="el-GR"/>
              </w:rPr>
              <w:t>D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1 ποντικού. Να είναι συζευγμένο με </w:t>
            </w:r>
            <w:r w:rsidRPr="00EB4D16">
              <w:rPr>
                <w:sz w:val="20"/>
                <w:szCs w:val="20"/>
                <w:lang w:val="en-US" w:eastAsia="el-GR"/>
              </w:rPr>
              <w:t>APC</w:t>
            </w:r>
            <w:r w:rsidRPr="00EB4D16">
              <w:rPr>
                <w:sz w:val="20"/>
                <w:szCs w:val="20"/>
                <w:lang w:val="el-GR" w:eastAsia="el-GR"/>
              </w:rPr>
              <w:t xml:space="preserve">. Να είναι κατάλληλο για πρωτόκολλα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κυτταρομετρίας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ροής. Να </w:t>
            </w:r>
            <w:r w:rsidRPr="00EB4D16">
              <w:rPr>
                <w:sz w:val="20"/>
                <w:szCs w:val="20"/>
                <w:lang w:val="el-GR" w:eastAsia="el-GR"/>
              </w:rPr>
              <w:lastRenderedPageBreak/>
              <w:t xml:space="preserve">παρέχεται σε συγκέντρωση 0.2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>/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ml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σε υδατικό ρυθμιστικό διάλυμα φωσφορικών,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pΗ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7.2, που περιέχει 0.09%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αζίδιο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του νατρίου και συσκευασία 100 </w:t>
            </w:r>
            <w:proofErr w:type="spellStart"/>
            <w:r w:rsidRPr="00EB4D16">
              <w:rPr>
                <w:sz w:val="20"/>
                <w:szCs w:val="20"/>
                <w:lang w:val="el-GR" w:eastAsia="el-GR"/>
              </w:rPr>
              <w:t>μg</w:t>
            </w:r>
            <w:proofErr w:type="spellEnd"/>
            <w:r w:rsidRPr="00EB4D16">
              <w:rPr>
                <w:sz w:val="20"/>
                <w:szCs w:val="20"/>
                <w:lang w:val="el-GR" w:eastAsia="el-GR"/>
              </w:rPr>
              <w:t xml:space="preserve"> ή 400 τεστ. Να είναι για ερευνητική χρήση.</w:t>
            </w:r>
          </w:p>
        </w:tc>
        <w:tc>
          <w:tcPr>
            <w:tcW w:w="503" w:type="pct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suppressAutoHyphens w:val="0"/>
              <w:spacing w:after="0"/>
              <w:jc w:val="left"/>
              <w:rPr>
                <w:sz w:val="20"/>
                <w:szCs w:val="20"/>
                <w:lang w:val="el-GR" w:eastAsia="el-GR"/>
              </w:rPr>
            </w:pPr>
          </w:p>
        </w:tc>
      </w:tr>
      <w:tr w:rsidR="0058553F" w:rsidRPr="00580998" w:rsidTr="0092476B">
        <w:trPr>
          <w:trHeight w:val="404"/>
          <w:jc w:val="center"/>
        </w:trPr>
        <w:tc>
          <w:tcPr>
            <w:tcW w:w="437" w:type="pct"/>
            <w:vAlign w:val="center"/>
          </w:tcPr>
          <w:p w:rsidR="0058553F" w:rsidRPr="002633D1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val="en-US" w:eastAsia="el-GR"/>
              </w:rPr>
              <w:lastRenderedPageBreak/>
              <w:t>3.9</w:t>
            </w:r>
          </w:p>
        </w:tc>
        <w:tc>
          <w:tcPr>
            <w:tcW w:w="2861" w:type="pct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53F" w:rsidRPr="002633D1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2633D1">
              <w:rPr>
                <w:color w:val="000000"/>
                <w:sz w:val="20"/>
                <w:szCs w:val="20"/>
                <w:lang w:val="el-GR" w:eastAsia="el-GR"/>
              </w:rPr>
              <w:t>Η διάρκεια ζωής του προϊόντος πρέπει να μην είναι μικρότερη των 24 μηνών.</w:t>
            </w:r>
          </w:p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58553F" w:rsidRDefault="0058553F" w:rsidP="0058553F">
      <w:pPr>
        <w:rPr>
          <w:lang w:val="el-GR"/>
        </w:rPr>
      </w:pPr>
    </w:p>
    <w:p w:rsidR="0058553F" w:rsidRDefault="0058553F" w:rsidP="0058553F">
      <w:pPr>
        <w:rPr>
          <w:lang w:val="el-GR"/>
        </w:rPr>
      </w:pPr>
    </w:p>
    <w:p w:rsidR="0058553F" w:rsidRPr="00E07801" w:rsidRDefault="0058553F" w:rsidP="0058553F">
      <w:pPr>
        <w:rPr>
          <w:b/>
          <w:color w:val="2F5496" w:themeColor="accent5" w:themeShade="BF"/>
          <w:lang w:val="el-GR"/>
        </w:rPr>
      </w:pPr>
      <w:r w:rsidRPr="00E07801">
        <w:rPr>
          <w:b/>
          <w:color w:val="2F5496" w:themeColor="accent5" w:themeShade="BF"/>
          <w:lang w:val="el-GR"/>
        </w:rPr>
        <w:t>ΟΜΑΔΑ 4:</w:t>
      </w:r>
    </w:p>
    <w:p w:rsidR="0058553F" w:rsidRDefault="0058553F" w:rsidP="0058553F">
      <w:pPr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877"/>
        <w:gridCol w:w="3304"/>
        <w:gridCol w:w="1039"/>
        <w:gridCol w:w="19"/>
        <w:gridCol w:w="703"/>
        <w:gridCol w:w="1496"/>
      </w:tblGrid>
      <w:tr w:rsidR="0058553F" w:rsidRPr="00EB4D16" w:rsidTr="0092476B">
        <w:trPr>
          <w:trHeight w:val="473"/>
          <w:jc w:val="center"/>
        </w:trPr>
        <w:tc>
          <w:tcPr>
            <w:tcW w:w="340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rPr>
                <w:b/>
                <w:lang w:val="el-GR"/>
              </w:rPr>
            </w:pPr>
            <w:r w:rsidRPr="00EB4D16">
              <w:rPr>
                <w:b/>
                <w:lang w:val="el-GR"/>
              </w:rPr>
              <w:t>A/A</w:t>
            </w:r>
          </w:p>
        </w:tc>
        <w:tc>
          <w:tcPr>
            <w:tcW w:w="952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rPr>
                <w:b/>
                <w:lang w:val="el-GR"/>
              </w:rPr>
            </w:pPr>
            <w:r w:rsidRPr="00EB4D16">
              <w:rPr>
                <w:b/>
                <w:lang w:val="el-GR"/>
              </w:rPr>
              <w:t>Είδος</w:t>
            </w:r>
          </w:p>
        </w:tc>
        <w:tc>
          <w:tcPr>
            <w:tcW w:w="1876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rPr>
                <w:b/>
                <w:lang w:val="el-GR"/>
              </w:rPr>
            </w:pPr>
            <w:r w:rsidRPr="00EB4D16">
              <w:rPr>
                <w:b/>
                <w:lang w:val="el-GR"/>
              </w:rPr>
              <w:t>Τεχνικές προδιαγραφές</w:t>
            </w:r>
          </w:p>
        </w:tc>
        <w:tc>
          <w:tcPr>
            <w:tcW w:w="608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463" w:type="pct"/>
            <w:gridSpan w:val="2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760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340" w:type="pct"/>
            <w:vAlign w:val="center"/>
          </w:tcPr>
          <w:p w:rsidR="0058553F" w:rsidRPr="00EB4D16" w:rsidRDefault="0058553F" w:rsidP="0092476B">
            <w:pPr>
              <w:rPr>
                <w:lang w:val="en-US"/>
              </w:rPr>
            </w:pPr>
            <w:r w:rsidRPr="00EB4D16">
              <w:rPr>
                <w:lang w:val="en-US"/>
              </w:rPr>
              <w:t>4.1</w:t>
            </w:r>
          </w:p>
        </w:tc>
        <w:tc>
          <w:tcPr>
            <w:tcW w:w="952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 xml:space="preserve">Σύριγγες 5 </w:t>
            </w:r>
            <w:proofErr w:type="spellStart"/>
            <w:r w:rsidRPr="00EB4D16">
              <w:rPr>
                <w:lang w:val="el-GR"/>
              </w:rPr>
              <w:t>ml</w:t>
            </w:r>
            <w:proofErr w:type="spellEnd"/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 xml:space="preserve">Σύριγγες 5 </w:t>
            </w:r>
            <w:proofErr w:type="spellStart"/>
            <w:r w:rsidRPr="00EB4D16">
              <w:rPr>
                <w:lang w:val="el-GR"/>
              </w:rPr>
              <w:t>ml</w:t>
            </w:r>
            <w:proofErr w:type="spellEnd"/>
            <w:r w:rsidRPr="00EB4D16">
              <w:rPr>
                <w:lang w:val="el-GR"/>
              </w:rPr>
              <w:t xml:space="preserve"> με αποσπώμενη βελόνα 21G x ½. Να είναι υψηλής ποιότητας, μίας χρήσης, αποστειρωμένες. Να έχουν διάφανο κύλινδρο για τέλειο έλεγχο του περιεχομένου της. Να παρέχονται σε συσκευασία των 100 τεμαχίων ανά κουτί.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340" w:type="pct"/>
            <w:vAlign w:val="center"/>
          </w:tcPr>
          <w:p w:rsidR="0058553F" w:rsidRPr="00EB4D16" w:rsidRDefault="0058553F" w:rsidP="0092476B">
            <w:pPr>
              <w:rPr>
                <w:lang w:val="en-US"/>
              </w:rPr>
            </w:pPr>
            <w:r w:rsidRPr="00EB4D16">
              <w:rPr>
                <w:lang w:val="en-US"/>
              </w:rPr>
              <w:t>4.2</w:t>
            </w:r>
          </w:p>
        </w:tc>
        <w:tc>
          <w:tcPr>
            <w:tcW w:w="952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 xml:space="preserve">Σύριγγες 1 </w:t>
            </w:r>
            <w:proofErr w:type="spellStart"/>
            <w:r w:rsidRPr="00EB4D16">
              <w:rPr>
                <w:lang w:val="el-GR"/>
              </w:rPr>
              <w:t>ml</w:t>
            </w:r>
            <w:proofErr w:type="spellEnd"/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 xml:space="preserve">Σύριγγες 1 </w:t>
            </w:r>
            <w:proofErr w:type="spellStart"/>
            <w:r w:rsidRPr="00EB4D16">
              <w:rPr>
                <w:lang w:val="el-GR"/>
              </w:rPr>
              <w:t>ml</w:t>
            </w:r>
            <w:proofErr w:type="spellEnd"/>
            <w:r w:rsidRPr="00EB4D16">
              <w:rPr>
                <w:lang w:val="el-GR"/>
              </w:rPr>
              <w:t xml:space="preserve"> με αποσπώμενη βελόνα 27G x ¾. Να είναι υψηλής ποιότητας, μίας χρήσης, αποστειρωμένες. Να έχουν διάφανο κύλινδρο για τέλειο έλεγχο του περιεχομένου της. Να παρέχονται σε συσκευασία των 100 τεμαχίων ανά κουτί.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340" w:type="pct"/>
            <w:vAlign w:val="center"/>
          </w:tcPr>
          <w:p w:rsidR="0058553F" w:rsidRPr="00EB4D16" w:rsidRDefault="0058553F" w:rsidP="0092476B">
            <w:pPr>
              <w:rPr>
                <w:lang w:val="en-US"/>
              </w:rPr>
            </w:pPr>
            <w:r w:rsidRPr="00EB4D16">
              <w:rPr>
                <w:lang w:val="en-US"/>
              </w:rPr>
              <w:t>4.3</w:t>
            </w:r>
          </w:p>
        </w:tc>
        <w:tc>
          <w:tcPr>
            <w:tcW w:w="952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 xml:space="preserve">Σωληνάρια </w:t>
            </w:r>
            <w:proofErr w:type="spellStart"/>
            <w:r w:rsidRPr="00EB4D16">
              <w:rPr>
                <w:lang w:val="el-GR"/>
              </w:rPr>
              <w:t>υπερφυγοκέντρου</w:t>
            </w:r>
            <w:proofErr w:type="spellEnd"/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proofErr w:type="spellStart"/>
            <w:r w:rsidRPr="00EB4D16">
              <w:rPr>
                <w:lang w:val="el-GR"/>
              </w:rPr>
              <w:t>Υπερκάθαρα</w:t>
            </w:r>
            <w:proofErr w:type="spellEnd"/>
            <w:r w:rsidRPr="00EB4D16">
              <w:rPr>
                <w:lang w:val="el-GR"/>
              </w:rPr>
              <w:t xml:space="preserve"> σωληνάρια όγκου 13,2 </w:t>
            </w:r>
            <w:proofErr w:type="spellStart"/>
            <w:r w:rsidRPr="00EB4D16">
              <w:rPr>
                <w:lang w:val="el-GR"/>
              </w:rPr>
              <w:t>ml</w:t>
            </w:r>
            <w:proofErr w:type="spellEnd"/>
            <w:r w:rsidRPr="00EB4D16">
              <w:rPr>
                <w:lang w:val="el-GR"/>
              </w:rPr>
              <w:t xml:space="preserve">, διαστάσεων 14x89 </w:t>
            </w:r>
            <w:proofErr w:type="spellStart"/>
            <w:r w:rsidRPr="00EB4D16">
              <w:rPr>
                <w:lang w:val="el-GR"/>
              </w:rPr>
              <w:t>mm</w:t>
            </w:r>
            <w:proofErr w:type="spellEnd"/>
            <w:r w:rsidRPr="00EB4D16">
              <w:rPr>
                <w:lang w:val="el-GR"/>
              </w:rPr>
              <w:t>, με λεπτά τοιχώματα, συμβατά με την κεφαλή SW41Ti. Να παρέχονται σε συσκευασία των 50 τεμαχίων.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</w:tr>
      <w:tr w:rsidR="0058553F" w:rsidRPr="00EB4D16" w:rsidTr="0092476B">
        <w:trPr>
          <w:trHeight w:val="405"/>
          <w:jc w:val="center"/>
        </w:trPr>
        <w:tc>
          <w:tcPr>
            <w:tcW w:w="340" w:type="pct"/>
            <w:vAlign w:val="center"/>
          </w:tcPr>
          <w:p w:rsidR="0058553F" w:rsidRPr="00EB4D16" w:rsidRDefault="0058553F" w:rsidP="0092476B">
            <w:pPr>
              <w:rPr>
                <w:lang w:val="en-US"/>
              </w:rPr>
            </w:pPr>
            <w:r w:rsidRPr="00EB4D16">
              <w:rPr>
                <w:lang w:val="en-US"/>
              </w:rPr>
              <w:t>4.4</w:t>
            </w:r>
          </w:p>
        </w:tc>
        <w:tc>
          <w:tcPr>
            <w:tcW w:w="952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proofErr w:type="spellStart"/>
            <w:r w:rsidRPr="00EB4D16">
              <w:rPr>
                <w:lang w:val="el-GR"/>
              </w:rPr>
              <w:t>Grids</w:t>
            </w:r>
            <w:proofErr w:type="spellEnd"/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>Πλέγματα (</w:t>
            </w:r>
            <w:r w:rsidRPr="00EB4D16">
              <w:rPr>
                <w:lang w:val="en-US"/>
              </w:rPr>
              <w:t>Grids</w:t>
            </w:r>
            <w:r w:rsidRPr="00EB4D16">
              <w:rPr>
                <w:lang w:val="el-GR"/>
              </w:rPr>
              <w:t xml:space="preserve">) – Να έχουν επίστρωση από </w:t>
            </w:r>
            <w:proofErr w:type="spellStart"/>
            <w:r w:rsidRPr="00EB4D16">
              <w:rPr>
                <w:lang w:val="en-US"/>
              </w:rPr>
              <w:t>Formvar</w:t>
            </w:r>
            <w:proofErr w:type="spellEnd"/>
            <w:r w:rsidRPr="00EB4D16">
              <w:rPr>
                <w:lang w:val="el-GR"/>
              </w:rPr>
              <w:t>/</w:t>
            </w:r>
            <w:r w:rsidRPr="00EB4D16">
              <w:rPr>
                <w:lang w:val="en-US"/>
              </w:rPr>
              <w:t>Carbon</w:t>
            </w:r>
            <w:r w:rsidRPr="00EB4D16">
              <w:rPr>
                <w:lang w:val="el-GR"/>
              </w:rPr>
              <w:t xml:space="preserve">.  Να διαθέτουν </w:t>
            </w:r>
            <w:r w:rsidRPr="00EB4D16">
              <w:rPr>
                <w:lang w:val="en-US"/>
              </w:rPr>
              <w:t>Copper</w:t>
            </w:r>
            <w:r w:rsidRPr="00EB4D16">
              <w:rPr>
                <w:lang w:val="el-GR"/>
              </w:rPr>
              <w:t xml:space="preserve"> 200 </w:t>
            </w:r>
            <w:r w:rsidRPr="00EB4D16">
              <w:rPr>
                <w:lang w:val="en-US"/>
              </w:rPr>
              <w:t>mesh</w:t>
            </w:r>
            <w:r w:rsidRPr="00EB4D16">
              <w:rPr>
                <w:lang w:val="el-GR"/>
              </w:rPr>
              <w:t xml:space="preserve"> διαμέτρου 3,05 </w:t>
            </w:r>
            <w:r w:rsidRPr="00EB4D16">
              <w:rPr>
                <w:lang w:val="en-US"/>
              </w:rPr>
              <w:t>mm</w:t>
            </w:r>
            <w:r w:rsidRPr="00EB4D16">
              <w:rPr>
                <w:lang w:val="el-GR"/>
              </w:rPr>
              <w:t>. Να παρέχεται σε συσκευασία των 50 τεμαχίων.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</w:tr>
      <w:tr w:rsidR="0058553F" w:rsidRPr="00E35EEE" w:rsidTr="0092476B">
        <w:trPr>
          <w:trHeight w:val="405"/>
          <w:jc w:val="center"/>
        </w:trPr>
        <w:tc>
          <w:tcPr>
            <w:tcW w:w="340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>4.5</w:t>
            </w:r>
          </w:p>
        </w:tc>
        <w:tc>
          <w:tcPr>
            <w:tcW w:w="952" w:type="pct"/>
            <w:vAlign w:val="center"/>
          </w:tcPr>
          <w:p w:rsidR="0058553F" w:rsidRPr="00EB4D16" w:rsidRDefault="0058553F" w:rsidP="0092476B">
            <w:pPr>
              <w:rPr>
                <w:lang w:val="en-US"/>
              </w:rPr>
            </w:pPr>
            <w:r w:rsidRPr="00EB4D16">
              <w:rPr>
                <w:lang w:val="el-GR"/>
              </w:rPr>
              <w:t>Λαβίδες (</w:t>
            </w:r>
            <w:r w:rsidRPr="00EB4D16">
              <w:rPr>
                <w:lang w:val="en-US"/>
              </w:rPr>
              <w:t>Tweezers)</w:t>
            </w:r>
          </w:p>
        </w:tc>
        <w:tc>
          <w:tcPr>
            <w:tcW w:w="1876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 xml:space="preserve">Να είναι κατασκευασμένα από </w:t>
            </w:r>
            <w:r w:rsidRPr="00EB4D16">
              <w:rPr>
                <w:lang w:val="en-US"/>
              </w:rPr>
              <w:t>Polished</w:t>
            </w:r>
            <w:r w:rsidRPr="00EB4D16">
              <w:rPr>
                <w:lang w:val="el-GR"/>
              </w:rPr>
              <w:t xml:space="preserve"> </w:t>
            </w:r>
            <w:r w:rsidRPr="00EB4D16">
              <w:rPr>
                <w:lang w:val="en-US"/>
              </w:rPr>
              <w:t>Style</w:t>
            </w:r>
            <w:r w:rsidRPr="00EB4D16">
              <w:rPr>
                <w:lang w:val="el-GR"/>
              </w:rPr>
              <w:t xml:space="preserve"> 5 </w:t>
            </w:r>
            <w:proofErr w:type="spellStart"/>
            <w:r w:rsidRPr="00EB4D16">
              <w:rPr>
                <w:lang w:val="en-US"/>
              </w:rPr>
              <w:t>Inox</w:t>
            </w:r>
            <w:proofErr w:type="spellEnd"/>
            <w:r w:rsidRPr="00EB4D16">
              <w:rPr>
                <w:lang w:val="el-GR"/>
              </w:rPr>
              <w:t xml:space="preserve">, </w:t>
            </w:r>
            <w:r w:rsidRPr="00EB4D16">
              <w:rPr>
                <w:lang w:val="en-US"/>
              </w:rPr>
              <w:t>biology</w:t>
            </w:r>
            <w:r w:rsidRPr="00EB4D16">
              <w:rPr>
                <w:lang w:val="el-GR"/>
              </w:rPr>
              <w:t xml:space="preserve"> </w:t>
            </w:r>
            <w:r w:rsidRPr="00EB4D16">
              <w:rPr>
                <w:lang w:val="en-US"/>
              </w:rPr>
              <w:t>grade</w:t>
            </w:r>
            <w:r w:rsidRPr="00EB4D16">
              <w:rPr>
                <w:lang w:val="el-GR"/>
              </w:rPr>
              <w:t xml:space="preserve">  -Να έχουν μήκος 110</w:t>
            </w:r>
            <w:r w:rsidRPr="00EB4D16">
              <w:rPr>
                <w:lang w:val="en-US"/>
              </w:rPr>
              <w:t>mm</w:t>
            </w:r>
            <w:r w:rsidRPr="00EB4D16">
              <w:rPr>
                <w:lang w:val="el-GR"/>
              </w:rPr>
              <w:t xml:space="preserve"> </w:t>
            </w:r>
            <w:r w:rsidRPr="00EB4D16">
              <w:rPr>
                <w:lang w:val="el-GR"/>
              </w:rPr>
              <w:lastRenderedPageBreak/>
              <w:t>και εξαιρετικά λεπτά άκρα (</w:t>
            </w:r>
            <w:r w:rsidRPr="00EB4D16">
              <w:rPr>
                <w:lang w:val="en-US"/>
              </w:rPr>
              <w:t>A</w:t>
            </w:r>
            <w:r w:rsidRPr="00EB4D16">
              <w:rPr>
                <w:lang w:val="el-GR"/>
              </w:rPr>
              <w:t>=0.01</w:t>
            </w:r>
            <w:r w:rsidRPr="00EB4D16">
              <w:rPr>
                <w:lang w:val="en-US"/>
              </w:rPr>
              <w:t>mm</w:t>
            </w:r>
            <w:r w:rsidRPr="00EB4D16">
              <w:rPr>
                <w:lang w:val="el-GR"/>
              </w:rPr>
              <w:t xml:space="preserve">, </w:t>
            </w:r>
            <w:r w:rsidRPr="00EB4D16">
              <w:rPr>
                <w:lang w:val="en-US"/>
              </w:rPr>
              <w:t>B</w:t>
            </w:r>
            <w:r w:rsidRPr="00EB4D16">
              <w:rPr>
                <w:lang w:val="el-GR"/>
              </w:rPr>
              <w:t>= 0.05</w:t>
            </w:r>
            <w:r w:rsidRPr="00EB4D16">
              <w:rPr>
                <w:lang w:val="en-US"/>
              </w:rPr>
              <w:t>mm</w:t>
            </w:r>
            <w:r w:rsidRPr="00EB4D16">
              <w:rPr>
                <w:lang w:val="el-GR"/>
              </w:rPr>
              <w:t>).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463" w:type="pct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</w:tr>
      <w:tr w:rsidR="0058553F" w:rsidRPr="00580998" w:rsidTr="0092476B">
        <w:trPr>
          <w:trHeight w:val="404"/>
          <w:jc w:val="center"/>
        </w:trPr>
        <w:tc>
          <w:tcPr>
            <w:tcW w:w="340" w:type="pct"/>
            <w:vAlign w:val="center"/>
          </w:tcPr>
          <w:p w:rsidR="0058553F" w:rsidRPr="002633D1" w:rsidRDefault="0058553F" w:rsidP="0092476B">
            <w:pPr>
              <w:suppressAutoHyphens w:val="0"/>
              <w:spacing w:after="0"/>
              <w:jc w:val="center"/>
              <w:rPr>
                <w:lang w:val="en-US"/>
              </w:rPr>
            </w:pPr>
            <w:r w:rsidRPr="002633D1">
              <w:rPr>
                <w:lang w:val="en-US"/>
              </w:rPr>
              <w:lastRenderedPageBreak/>
              <w:t>4.6</w:t>
            </w:r>
          </w:p>
        </w:tc>
        <w:tc>
          <w:tcPr>
            <w:tcW w:w="2828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53F" w:rsidRPr="002633D1" w:rsidRDefault="0058553F" w:rsidP="0092476B">
            <w:pPr>
              <w:suppressAutoHyphens w:val="0"/>
              <w:spacing w:after="0"/>
              <w:jc w:val="left"/>
              <w:rPr>
                <w:lang w:val="el-GR"/>
              </w:rPr>
            </w:pPr>
            <w:r w:rsidRPr="002633D1">
              <w:rPr>
                <w:lang w:val="el-GR"/>
              </w:rPr>
              <w:t xml:space="preserve">Η διάρκεια ζωής </w:t>
            </w:r>
            <w:r>
              <w:rPr>
                <w:lang w:val="el-GR"/>
              </w:rPr>
              <w:t>των προϊόντων</w:t>
            </w:r>
            <w:r w:rsidRPr="002633D1">
              <w:rPr>
                <w:lang w:val="el-GR"/>
              </w:rPr>
              <w:t xml:space="preserve"> πρέπει να μην είναι μικρότερη των 24 μηνών.</w:t>
            </w:r>
          </w:p>
          <w:p w:rsidR="0058553F" w:rsidRPr="002633D1" w:rsidRDefault="0058553F" w:rsidP="0092476B">
            <w:pPr>
              <w:suppressAutoHyphens w:val="0"/>
              <w:spacing w:after="0"/>
              <w:jc w:val="left"/>
              <w:rPr>
                <w:lang w:val="el-GR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58553F" w:rsidRDefault="0058553F" w:rsidP="0058553F">
      <w:pPr>
        <w:rPr>
          <w:lang w:val="el-GR"/>
        </w:rPr>
      </w:pPr>
    </w:p>
    <w:p w:rsidR="0058553F" w:rsidRDefault="0058553F" w:rsidP="0058553F">
      <w:pPr>
        <w:rPr>
          <w:lang w:val="el-GR"/>
        </w:rPr>
      </w:pPr>
    </w:p>
    <w:p w:rsidR="0058553F" w:rsidRDefault="0058553F" w:rsidP="0058553F">
      <w:pPr>
        <w:rPr>
          <w:b/>
          <w:color w:val="2F5496" w:themeColor="accent5" w:themeShade="BF"/>
          <w:lang w:val="el-GR"/>
        </w:rPr>
      </w:pPr>
      <w:r w:rsidRPr="00E07801">
        <w:rPr>
          <w:b/>
          <w:color w:val="2F5496" w:themeColor="accent5" w:themeShade="BF"/>
          <w:lang w:val="el-GR"/>
        </w:rPr>
        <w:t>ΟΜΑΔΑ 5:</w:t>
      </w:r>
    </w:p>
    <w:p w:rsidR="00E07801" w:rsidRPr="00E07801" w:rsidRDefault="00E07801" w:rsidP="0058553F">
      <w:pPr>
        <w:rPr>
          <w:b/>
          <w:color w:val="2F5496" w:themeColor="accent5" w:themeShade="BF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165"/>
        <w:gridCol w:w="2601"/>
        <w:gridCol w:w="1155"/>
        <w:gridCol w:w="1021"/>
        <w:gridCol w:w="1496"/>
      </w:tblGrid>
      <w:tr w:rsidR="0058553F" w:rsidRPr="00EB4D16" w:rsidTr="0092476B">
        <w:trPr>
          <w:trHeight w:val="165"/>
          <w:jc w:val="center"/>
        </w:trPr>
        <w:tc>
          <w:tcPr>
            <w:tcW w:w="294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rPr>
                <w:b/>
                <w:lang w:val="el-GR"/>
              </w:rPr>
            </w:pPr>
            <w:r w:rsidRPr="00EB4D16">
              <w:rPr>
                <w:b/>
                <w:lang w:val="el-GR"/>
              </w:rPr>
              <w:t>A/A</w:t>
            </w:r>
          </w:p>
        </w:tc>
        <w:tc>
          <w:tcPr>
            <w:tcW w:w="1225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rPr>
                <w:b/>
                <w:lang w:val="el-GR"/>
              </w:rPr>
            </w:pPr>
            <w:r w:rsidRPr="00EB4D16">
              <w:rPr>
                <w:b/>
                <w:lang w:val="el-GR"/>
              </w:rPr>
              <w:t>Είδος</w:t>
            </w:r>
          </w:p>
        </w:tc>
        <w:tc>
          <w:tcPr>
            <w:tcW w:w="1467" w:type="pct"/>
            <w:shd w:val="clear" w:color="auto" w:fill="D9D9D9"/>
            <w:vAlign w:val="center"/>
          </w:tcPr>
          <w:p w:rsidR="0058553F" w:rsidRPr="00EB4D16" w:rsidRDefault="0058553F" w:rsidP="0092476B">
            <w:pPr>
              <w:rPr>
                <w:b/>
                <w:lang w:val="el-GR"/>
              </w:rPr>
            </w:pPr>
            <w:r w:rsidRPr="00EB4D16">
              <w:rPr>
                <w:b/>
                <w:lang w:val="el-GR"/>
              </w:rPr>
              <w:t>Τεχνικές προδιαγραφές</w:t>
            </w:r>
          </w:p>
        </w:tc>
        <w:tc>
          <w:tcPr>
            <w:tcW w:w="665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590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759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8553F" w:rsidRPr="00EB4D16" w:rsidTr="0092476B">
        <w:trPr>
          <w:trHeight w:val="187"/>
          <w:jc w:val="center"/>
        </w:trPr>
        <w:tc>
          <w:tcPr>
            <w:tcW w:w="294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>5.1</w:t>
            </w:r>
          </w:p>
        </w:tc>
        <w:tc>
          <w:tcPr>
            <w:tcW w:w="1225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>EXO-</w:t>
            </w:r>
            <w:proofErr w:type="spellStart"/>
            <w:r w:rsidRPr="00EB4D16">
              <w:rPr>
                <w:lang w:val="el-GR"/>
              </w:rPr>
              <w:t>Prep</w:t>
            </w:r>
            <w:proofErr w:type="spellEnd"/>
          </w:p>
        </w:tc>
        <w:tc>
          <w:tcPr>
            <w:tcW w:w="1467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 xml:space="preserve">Αντιδραστήριο απομόνωσης </w:t>
            </w:r>
            <w:proofErr w:type="spellStart"/>
            <w:r w:rsidRPr="00EB4D16">
              <w:rPr>
                <w:lang w:val="el-GR"/>
              </w:rPr>
              <w:t>εξωσωμάτων</w:t>
            </w:r>
            <w:proofErr w:type="spellEnd"/>
            <w:r w:rsidRPr="00EB4D16">
              <w:rPr>
                <w:lang w:val="el-GR"/>
              </w:rPr>
              <w:t xml:space="preserve"> με κατακρήμνιση. Να απομονώνει </w:t>
            </w:r>
            <w:proofErr w:type="spellStart"/>
            <w:r w:rsidRPr="00EB4D16">
              <w:rPr>
                <w:lang w:val="el-GR"/>
              </w:rPr>
              <w:t>εξωσώματα</w:t>
            </w:r>
            <w:proofErr w:type="spellEnd"/>
            <w:r w:rsidRPr="00EB4D16">
              <w:rPr>
                <w:lang w:val="el-GR"/>
              </w:rPr>
              <w:t xml:space="preserve"> κατάλληλα για τις εφαρμογές Western </w:t>
            </w:r>
            <w:proofErr w:type="spellStart"/>
            <w:r w:rsidRPr="00EB4D16">
              <w:rPr>
                <w:lang w:val="el-GR"/>
              </w:rPr>
              <w:t>blotting</w:t>
            </w:r>
            <w:proofErr w:type="spellEnd"/>
            <w:r w:rsidRPr="00EB4D16">
              <w:rPr>
                <w:lang w:val="el-GR"/>
              </w:rPr>
              <w:t xml:space="preserve">, ELISA, απομόνωση και </w:t>
            </w:r>
            <w:proofErr w:type="spellStart"/>
            <w:r w:rsidRPr="00EB4D16">
              <w:rPr>
                <w:lang w:val="el-GR"/>
              </w:rPr>
              <w:t>profiling</w:t>
            </w:r>
            <w:proofErr w:type="spellEnd"/>
            <w:r w:rsidRPr="00EB4D16">
              <w:rPr>
                <w:lang w:val="el-GR"/>
              </w:rPr>
              <w:t xml:space="preserve"> </w:t>
            </w:r>
            <w:proofErr w:type="spellStart"/>
            <w:r w:rsidRPr="00EB4D16">
              <w:rPr>
                <w:lang w:val="el-GR"/>
              </w:rPr>
              <w:t>νουκλεινικών</w:t>
            </w:r>
            <w:proofErr w:type="spellEnd"/>
            <w:r w:rsidRPr="00EB4D16">
              <w:rPr>
                <w:lang w:val="el-GR"/>
              </w:rPr>
              <w:t xml:space="preserve"> οξέων (τόσο RNA όσο  και DNA), </w:t>
            </w:r>
            <w:proofErr w:type="spellStart"/>
            <w:r w:rsidRPr="00EB4D16">
              <w:rPr>
                <w:lang w:val="el-GR"/>
              </w:rPr>
              <w:t>κυτταρομετρία</w:t>
            </w:r>
            <w:proofErr w:type="spellEnd"/>
            <w:r w:rsidRPr="00EB4D16">
              <w:rPr>
                <w:lang w:val="el-GR"/>
              </w:rPr>
              <w:t xml:space="preserve"> ροής, </w:t>
            </w:r>
            <w:r w:rsidRPr="00EB4D16">
              <w:rPr>
                <w:lang w:val="en-US"/>
              </w:rPr>
              <w:t>NTA</w:t>
            </w:r>
            <w:r w:rsidRPr="00EB4D16">
              <w:rPr>
                <w:lang w:val="el-GR"/>
              </w:rPr>
              <w:t>(</w:t>
            </w:r>
            <w:r w:rsidRPr="00EB4D16">
              <w:rPr>
                <w:lang w:val="en-US"/>
              </w:rPr>
              <w:t>nanoparticle</w:t>
            </w:r>
            <w:r w:rsidRPr="00EB4D16">
              <w:rPr>
                <w:lang w:val="el-GR"/>
              </w:rPr>
              <w:t xml:space="preserve"> </w:t>
            </w:r>
            <w:r w:rsidRPr="00EB4D16">
              <w:rPr>
                <w:lang w:val="en-US"/>
              </w:rPr>
              <w:t>tracking</w:t>
            </w:r>
            <w:r w:rsidRPr="00EB4D16">
              <w:rPr>
                <w:lang w:val="el-GR"/>
              </w:rPr>
              <w:t xml:space="preserve"> </w:t>
            </w:r>
            <w:r w:rsidRPr="00EB4D16">
              <w:rPr>
                <w:lang w:val="en-US"/>
              </w:rPr>
              <w:t>analysis</w:t>
            </w:r>
            <w:r w:rsidRPr="00EB4D16">
              <w:rPr>
                <w:lang w:val="el-GR"/>
              </w:rPr>
              <w:t xml:space="preserve">). Να επιτρέπει απομόνωση σε  δείγματα από 100μl  σε αναλογία ¼, να μην απαιτεί επεξεργασία του δείγματος με θρομβίνη και να εξασφαλίζει ευδιάλυτο ίζημα. </w:t>
            </w:r>
            <w:r w:rsidRPr="00EB4D16">
              <w:rPr>
                <w:lang w:val="en-US"/>
              </w:rPr>
              <w:t>N</w:t>
            </w:r>
            <w:r w:rsidRPr="00EB4D16">
              <w:rPr>
                <w:lang w:val="el-GR"/>
              </w:rPr>
              <w:t>α παρέχεται σε συσκευασία 5m</w:t>
            </w:r>
            <w:r w:rsidRPr="00EB4D16">
              <w:rPr>
                <w:lang w:val="en-US"/>
              </w:rPr>
              <w:t>l.</w:t>
            </w:r>
          </w:p>
        </w:tc>
        <w:tc>
          <w:tcPr>
            <w:tcW w:w="665" w:type="pct"/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590" w:type="pct"/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759" w:type="pct"/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</w:tr>
      <w:tr w:rsidR="0058553F" w:rsidRPr="00EB4D16" w:rsidTr="0092476B">
        <w:trPr>
          <w:trHeight w:val="151"/>
          <w:jc w:val="center"/>
        </w:trPr>
        <w:tc>
          <w:tcPr>
            <w:tcW w:w="294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>5.2</w:t>
            </w:r>
          </w:p>
        </w:tc>
        <w:tc>
          <w:tcPr>
            <w:tcW w:w="1225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proofErr w:type="spellStart"/>
            <w:r w:rsidRPr="00EB4D16">
              <w:rPr>
                <w:lang w:val="el-GR"/>
              </w:rPr>
              <w:t>Exo</w:t>
            </w:r>
            <w:proofErr w:type="spellEnd"/>
            <w:r w:rsidRPr="00EB4D16">
              <w:rPr>
                <w:lang w:val="el-GR"/>
              </w:rPr>
              <w:t>-FACS</w:t>
            </w:r>
          </w:p>
        </w:tc>
        <w:tc>
          <w:tcPr>
            <w:tcW w:w="1467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proofErr w:type="spellStart"/>
            <w:r w:rsidRPr="00EB4D16">
              <w:rPr>
                <w:lang w:val="el-GR"/>
              </w:rPr>
              <w:t>Κιτ</w:t>
            </w:r>
            <w:proofErr w:type="spellEnd"/>
            <w:r w:rsidRPr="00EB4D16">
              <w:rPr>
                <w:lang w:val="el-GR"/>
              </w:rPr>
              <w:t xml:space="preserve"> απομόνωσης και ποσοτικοποίησης  </w:t>
            </w:r>
            <w:proofErr w:type="spellStart"/>
            <w:r w:rsidRPr="00EB4D16">
              <w:rPr>
                <w:lang w:val="el-GR"/>
              </w:rPr>
              <w:t>εξωσωμάτων</w:t>
            </w:r>
            <w:proofErr w:type="spellEnd"/>
            <w:r w:rsidRPr="00EB4D16">
              <w:rPr>
                <w:lang w:val="el-GR"/>
              </w:rPr>
              <w:t xml:space="preserve">  από  ορό με </w:t>
            </w:r>
            <w:proofErr w:type="spellStart"/>
            <w:r w:rsidRPr="00EB4D16">
              <w:rPr>
                <w:lang w:val="el-GR"/>
              </w:rPr>
              <w:t>κυτταρομετρία</w:t>
            </w:r>
            <w:proofErr w:type="spellEnd"/>
            <w:r w:rsidRPr="00EB4D16">
              <w:rPr>
                <w:lang w:val="el-GR"/>
              </w:rPr>
              <w:t xml:space="preserve">  ροής. Να περιλαμβάνει αντιδραστήριο </w:t>
            </w:r>
            <w:r w:rsidRPr="00EB4D16">
              <w:rPr>
                <w:lang w:val="el-GR"/>
              </w:rPr>
              <w:lastRenderedPageBreak/>
              <w:t>απομόνωσης, σφαιρίδια FACS-</w:t>
            </w:r>
            <w:proofErr w:type="spellStart"/>
            <w:r w:rsidRPr="00EB4D16">
              <w:rPr>
                <w:lang w:val="el-GR"/>
              </w:rPr>
              <w:t>Beads</w:t>
            </w:r>
            <w:proofErr w:type="spellEnd"/>
            <w:r w:rsidRPr="00EB4D16">
              <w:rPr>
                <w:lang w:val="el-GR"/>
              </w:rPr>
              <w:t xml:space="preserve">  4 </w:t>
            </w:r>
            <w:proofErr w:type="spellStart"/>
            <w:r w:rsidRPr="00EB4D16">
              <w:rPr>
                <w:lang w:val="el-GR"/>
              </w:rPr>
              <w:t>μm</w:t>
            </w:r>
            <w:proofErr w:type="spellEnd"/>
            <w:r w:rsidRPr="00EB4D16">
              <w:rPr>
                <w:lang w:val="el-GR"/>
              </w:rPr>
              <w:t xml:space="preserve">, πρότυπα </w:t>
            </w:r>
            <w:proofErr w:type="spellStart"/>
            <w:r w:rsidRPr="00EB4D16">
              <w:rPr>
                <w:lang w:val="el-GR"/>
              </w:rPr>
              <w:t>εξωσωμάτων</w:t>
            </w:r>
            <w:proofErr w:type="spellEnd"/>
            <w:r w:rsidRPr="00EB4D16">
              <w:rPr>
                <w:lang w:val="el-GR"/>
              </w:rPr>
              <w:t xml:space="preserve"> από πιστοποιημένους υγιείς δότες, πρωτογενές αντίσωμα έναντι του CD9 και δευτερογενές αντίσωμα </w:t>
            </w:r>
            <w:proofErr w:type="spellStart"/>
            <w:r w:rsidRPr="00EB4D16">
              <w:rPr>
                <w:lang w:val="el-GR"/>
              </w:rPr>
              <w:t>σημασμένο</w:t>
            </w:r>
            <w:proofErr w:type="spellEnd"/>
            <w:r w:rsidRPr="00EB4D16">
              <w:rPr>
                <w:lang w:val="el-GR"/>
              </w:rPr>
              <w:t xml:space="preserve"> με Alexa488. Να παρέχεται σε συσκευασία των 20 τεστ / </w:t>
            </w:r>
            <w:proofErr w:type="spellStart"/>
            <w:r w:rsidRPr="00EB4D16">
              <w:rPr>
                <w:lang w:val="el-GR"/>
              </w:rPr>
              <w:t>κιτ</w:t>
            </w:r>
            <w:proofErr w:type="spellEnd"/>
            <w:r w:rsidRPr="00EB4D16">
              <w:rPr>
                <w:lang w:val="el-GR"/>
              </w:rPr>
              <w:t xml:space="preserve">. </w:t>
            </w:r>
          </w:p>
        </w:tc>
        <w:tc>
          <w:tcPr>
            <w:tcW w:w="665" w:type="pct"/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590" w:type="pct"/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759" w:type="pct"/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</w:tr>
      <w:tr w:rsidR="0058553F" w:rsidRPr="00EB4D16" w:rsidTr="0092476B">
        <w:trPr>
          <w:trHeight w:val="140"/>
          <w:jc w:val="center"/>
        </w:trPr>
        <w:tc>
          <w:tcPr>
            <w:tcW w:w="294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lastRenderedPageBreak/>
              <w:t>5.3</w:t>
            </w:r>
          </w:p>
        </w:tc>
        <w:tc>
          <w:tcPr>
            <w:tcW w:w="1225" w:type="pct"/>
            <w:vAlign w:val="center"/>
          </w:tcPr>
          <w:p w:rsidR="0058553F" w:rsidRPr="00EB4D16" w:rsidRDefault="0058553F" w:rsidP="0092476B">
            <w:pPr>
              <w:rPr>
                <w:lang w:val="en-US"/>
              </w:rPr>
            </w:pPr>
            <w:proofErr w:type="spellStart"/>
            <w:r w:rsidRPr="00EB4D16">
              <w:rPr>
                <w:lang w:val="en-US"/>
              </w:rPr>
              <w:t>ExoBrite</w:t>
            </w:r>
            <w:proofErr w:type="spellEnd"/>
            <w:r w:rsidRPr="00EB4D16">
              <w:rPr>
                <w:lang w:val="en-US"/>
              </w:rPr>
              <w:t xml:space="preserve"> 560/585 EV Membrane Staining Kit </w:t>
            </w:r>
          </w:p>
        </w:tc>
        <w:tc>
          <w:tcPr>
            <w:tcW w:w="1467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proofErr w:type="spellStart"/>
            <w:r w:rsidRPr="00EB4D16">
              <w:rPr>
                <w:lang w:val="el-GR"/>
              </w:rPr>
              <w:t>Κιτ</w:t>
            </w:r>
            <w:proofErr w:type="spellEnd"/>
            <w:r w:rsidRPr="00EB4D16">
              <w:rPr>
                <w:lang w:val="el-GR"/>
              </w:rPr>
              <w:t xml:space="preserve"> χρώσης </w:t>
            </w:r>
            <w:proofErr w:type="spellStart"/>
            <w:r w:rsidRPr="00EB4D16">
              <w:rPr>
                <w:lang w:val="el-GR"/>
              </w:rPr>
              <w:t>εξωσωμάτων</w:t>
            </w:r>
            <w:proofErr w:type="spellEnd"/>
            <w:r w:rsidRPr="00EB4D16">
              <w:rPr>
                <w:lang w:val="el-GR"/>
              </w:rPr>
              <w:t xml:space="preserve">. Να είναι σχεδιασμένο για </w:t>
            </w:r>
            <w:proofErr w:type="spellStart"/>
            <w:r w:rsidRPr="00EB4D16">
              <w:rPr>
                <w:lang w:val="el-GR"/>
              </w:rPr>
              <w:t>κυτταρομετρία</w:t>
            </w:r>
            <w:proofErr w:type="spellEnd"/>
            <w:r w:rsidRPr="00EB4D16">
              <w:rPr>
                <w:lang w:val="el-GR"/>
              </w:rPr>
              <w:t xml:space="preserve"> ροής. Να διαθέτει χρωστικές με έντονη χρώση και χαμηλό </w:t>
            </w:r>
            <w:r w:rsidRPr="00EB4D16">
              <w:rPr>
                <w:lang w:val="en-US"/>
              </w:rPr>
              <w:t>background</w:t>
            </w:r>
            <w:r w:rsidRPr="00EB4D16">
              <w:rPr>
                <w:lang w:val="el-GR"/>
              </w:rPr>
              <w:t xml:space="preserve">. Να μπορεί να βάψει καθαρά ή συνδεδεμένα σε </w:t>
            </w:r>
            <w:r w:rsidRPr="00EB4D16">
              <w:rPr>
                <w:lang w:val="en-US"/>
              </w:rPr>
              <w:t>beads</w:t>
            </w:r>
            <w:r w:rsidRPr="00EB4D16">
              <w:rPr>
                <w:lang w:val="el-GR"/>
              </w:rPr>
              <w:t xml:space="preserve"> </w:t>
            </w:r>
            <w:proofErr w:type="spellStart"/>
            <w:r w:rsidRPr="00EB4D16">
              <w:rPr>
                <w:lang w:val="el-GR"/>
              </w:rPr>
              <w:t>εξωσώματα</w:t>
            </w:r>
            <w:proofErr w:type="spellEnd"/>
            <w:r w:rsidRPr="00EB4D16">
              <w:rPr>
                <w:lang w:val="el-GR"/>
              </w:rPr>
              <w:t xml:space="preserve">. Να μπορεί να γίνεται ταυτόχρονη χρώση και με αντισώματα. Να έχει μήκος κύματος διέγερσης 560 </w:t>
            </w:r>
            <w:r w:rsidRPr="00EB4D16">
              <w:rPr>
                <w:lang w:val="en-US"/>
              </w:rPr>
              <w:t>nm</w:t>
            </w:r>
            <w:r w:rsidRPr="00EB4D16">
              <w:rPr>
                <w:lang w:val="el-GR"/>
              </w:rPr>
              <w:t xml:space="preserve"> και εκπομπής 585 </w:t>
            </w:r>
            <w:r w:rsidRPr="00EB4D16">
              <w:rPr>
                <w:lang w:val="en-US"/>
              </w:rPr>
              <w:t>nm</w:t>
            </w:r>
            <w:r w:rsidRPr="00EB4D16">
              <w:rPr>
                <w:lang w:val="el-GR"/>
              </w:rPr>
              <w:t>. Να διατίθεται σε συσκευασία 500 αντιδράσεων.</w:t>
            </w:r>
          </w:p>
        </w:tc>
        <w:tc>
          <w:tcPr>
            <w:tcW w:w="665" w:type="pct"/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590" w:type="pct"/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759" w:type="pct"/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</w:tr>
      <w:tr w:rsidR="0058553F" w:rsidRPr="00EB4D16" w:rsidTr="0092476B">
        <w:trPr>
          <w:trHeight w:val="142"/>
          <w:jc w:val="center"/>
        </w:trPr>
        <w:tc>
          <w:tcPr>
            <w:tcW w:w="294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>5.4</w:t>
            </w:r>
          </w:p>
        </w:tc>
        <w:tc>
          <w:tcPr>
            <w:tcW w:w="1225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n-US"/>
              </w:rPr>
              <w:t>Glycogen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 xml:space="preserve">Να προέρχεται από το είδος </w:t>
            </w:r>
            <w:proofErr w:type="spellStart"/>
            <w:r w:rsidRPr="00EB4D16">
              <w:rPr>
                <w:i/>
                <w:lang w:val="en-US"/>
              </w:rPr>
              <w:t>Mytilus</w:t>
            </w:r>
            <w:proofErr w:type="spellEnd"/>
            <w:r w:rsidRPr="00EB4D16">
              <w:rPr>
                <w:i/>
                <w:lang w:val="el-GR"/>
              </w:rPr>
              <w:t xml:space="preserve"> </w:t>
            </w:r>
            <w:proofErr w:type="spellStart"/>
            <w:r w:rsidRPr="00EB4D16">
              <w:rPr>
                <w:i/>
                <w:lang w:val="en-US"/>
              </w:rPr>
              <w:t>edulis</w:t>
            </w:r>
            <w:proofErr w:type="spellEnd"/>
            <w:r w:rsidRPr="00EB4D16">
              <w:rPr>
                <w:lang w:val="el-GR"/>
              </w:rPr>
              <w:t xml:space="preserve">. Να είναι ειδικό για αντιδράσεις μοριακής βιολογίας. Να είναι σε συγκέντρωση 20 </w:t>
            </w:r>
            <w:r w:rsidRPr="00EB4D16">
              <w:rPr>
                <w:lang w:val="en-US"/>
              </w:rPr>
              <w:t>mg</w:t>
            </w:r>
            <w:r w:rsidRPr="00EB4D16">
              <w:rPr>
                <w:lang w:val="el-GR"/>
              </w:rPr>
              <w:t>/</w:t>
            </w:r>
            <w:r w:rsidRPr="00EB4D16">
              <w:rPr>
                <w:lang w:val="en-US"/>
              </w:rPr>
              <w:t>ml</w:t>
            </w:r>
            <w:r w:rsidRPr="00EB4D16">
              <w:rPr>
                <w:lang w:val="el-GR"/>
              </w:rPr>
              <w:t xml:space="preserve">. Να είναι ελεύθερο </w:t>
            </w:r>
            <w:proofErr w:type="spellStart"/>
            <w:r w:rsidRPr="00EB4D16">
              <w:rPr>
                <w:lang w:val="el-GR"/>
              </w:rPr>
              <w:t>ενδονουκλεασών</w:t>
            </w:r>
            <w:proofErr w:type="spellEnd"/>
            <w:r w:rsidRPr="00EB4D16">
              <w:rPr>
                <w:lang w:val="el-GR"/>
              </w:rPr>
              <w:t xml:space="preserve">, </w:t>
            </w:r>
            <w:proofErr w:type="spellStart"/>
            <w:r w:rsidRPr="00EB4D16">
              <w:rPr>
                <w:lang w:val="el-GR"/>
              </w:rPr>
              <w:t>εξωνουκλεασών</w:t>
            </w:r>
            <w:proofErr w:type="spellEnd"/>
            <w:r w:rsidRPr="00EB4D16">
              <w:rPr>
                <w:lang w:val="el-GR"/>
              </w:rPr>
              <w:t xml:space="preserve">, </w:t>
            </w:r>
            <w:proofErr w:type="spellStart"/>
            <w:r w:rsidRPr="00EB4D16">
              <w:rPr>
                <w:lang w:val="el-GR"/>
              </w:rPr>
              <w:t>νουκλεϊκών</w:t>
            </w:r>
            <w:proofErr w:type="spellEnd"/>
            <w:r w:rsidRPr="00EB4D16">
              <w:rPr>
                <w:lang w:val="el-GR"/>
              </w:rPr>
              <w:t xml:space="preserve"> οξέων και </w:t>
            </w:r>
            <w:proofErr w:type="spellStart"/>
            <w:r w:rsidRPr="00EB4D16">
              <w:rPr>
                <w:lang w:val="el-GR"/>
              </w:rPr>
              <w:t>πρωτεασών</w:t>
            </w:r>
            <w:proofErr w:type="spellEnd"/>
            <w:r w:rsidRPr="00EB4D16">
              <w:rPr>
                <w:lang w:val="el-GR"/>
              </w:rPr>
              <w:t xml:space="preserve">. Να διατίθεται σε συσκευασία 1 </w:t>
            </w:r>
            <w:r w:rsidRPr="00EB4D16">
              <w:rPr>
                <w:lang w:val="en-US"/>
              </w:rPr>
              <w:t>ml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</w:tr>
      <w:tr w:rsidR="0058553F" w:rsidRPr="00EB4D16" w:rsidTr="0092476B">
        <w:trPr>
          <w:trHeight w:val="141"/>
          <w:jc w:val="center"/>
        </w:trPr>
        <w:tc>
          <w:tcPr>
            <w:tcW w:w="294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>5.5</w:t>
            </w:r>
          </w:p>
        </w:tc>
        <w:tc>
          <w:tcPr>
            <w:tcW w:w="1225" w:type="pct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proofErr w:type="spellStart"/>
            <w:r w:rsidRPr="00EB4D16">
              <w:rPr>
                <w:lang w:val="el-GR"/>
              </w:rPr>
              <w:t>Methyl</w:t>
            </w:r>
            <w:proofErr w:type="spellEnd"/>
            <w:r w:rsidRPr="00EB4D16">
              <w:rPr>
                <w:lang w:val="el-GR"/>
              </w:rPr>
              <w:t xml:space="preserve"> </w:t>
            </w:r>
            <w:proofErr w:type="spellStart"/>
            <w:r w:rsidRPr="00EB4D16">
              <w:rPr>
                <w:lang w:val="el-GR"/>
              </w:rPr>
              <w:t>Cellulose</w:t>
            </w:r>
            <w:proofErr w:type="spellEnd"/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53F" w:rsidRPr="00EB4D16" w:rsidRDefault="0058553F" w:rsidP="0092476B">
            <w:pPr>
              <w:rPr>
                <w:lang w:val="el-GR"/>
              </w:rPr>
            </w:pPr>
            <w:r w:rsidRPr="00EB4D16">
              <w:rPr>
                <w:lang w:val="el-GR"/>
              </w:rPr>
              <w:t xml:space="preserve">Να έχει όψη </w:t>
            </w:r>
            <w:proofErr w:type="spellStart"/>
            <w:r w:rsidRPr="00EB4D16">
              <w:rPr>
                <w:lang w:val="el-GR"/>
              </w:rPr>
              <w:t>λευκςή</w:t>
            </w:r>
            <w:proofErr w:type="spellEnd"/>
            <w:r w:rsidRPr="00EB4D16">
              <w:rPr>
                <w:lang w:val="el-GR"/>
              </w:rPr>
              <w:t xml:space="preserve"> ή σχεδόν λευκής σκόνης ή κρυστάλλων. Να έχει ιξώδες 20-30</w:t>
            </w:r>
            <w:proofErr w:type="spellStart"/>
            <w:r w:rsidRPr="00EB4D16">
              <w:rPr>
                <w:lang w:val="en-US"/>
              </w:rPr>
              <w:t>mPa</w:t>
            </w:r>
            <w:proofErr w:type="spellEnd"/>
            <w:r w:rsidRPr="00EB4D16">
              <w:rPr>
                <w:lang w:val="el-GR"/>
              </w:rPr>
              <w:t>·</w:t>
            </w:r>
            <w:r w:rsidRPr="00EB4D16">
              <w:rPr>
                <w:lang w:val="en-US"/>
              </w:rPr>
              <w:t>s</w:t>
            </w:r>
            <w:r w:rsidRPr="00EB4D16">
              <w:rPr>
                <w:lang w:val="el-GR"/>
              </w:rPr>
              <w:t>, 2% σε νερό στους 20°</w:t>
            </w:r>
            <w:r w:rsidRPr="00EB4D16">
              <w:rPr>
                <w:lang w:val="en-US"/>
              </w:rPr>
              <w:t>C</w:t>
            </w:r>
            <w:r w:rsidRPr="00EB4D16">
              <w:rPr>
                <w:lang w:val="el-GR"/>
              </w:rPr>
              <w:t xml:space="preserve">). Να παρέχεται σε συσκευασία των 500 </w:t>
            </w:r>
            <w:r w:rsidRPr="00EB4D16">
              <w:rPr>
                <w:lang w:val="en-US"/>
              </w:rPr>
              <w:t>gr</w:t>
            </w:r>
            <w:r w:rsidRPr="00EB4D16">
              <w:rPr>
                <w:lang w:val="el-GR"/>
              </w:rPr>
              <w:t>.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</w:tcPr>
          <w:p w:rsidR="0058553F" w:rsidRPr="00EB4D16" w:rsidRDefault="0058553F" w:rsidP="0092476B">
            <w:pPr>
              <w:rPr>
                <w:lang w:val="el-GR"/>
              </w:rPr>
            </w:pPr>
          </w:p>
        </w:tc>
      </w:tr>
      <w:tr w:rsidR="0058553F" w:rsidRPr="00580998" w:rsidTr="0092476B">
        <w:trPr>
          <w:trHeight w:val="404"/>
          <w:jc w:val="center"/>
        </w:trPr>
        <w:tc>
          <w:tcPr>
            <w:tcW w:w="294" w:type="pct"/>
            <w:vAlign w:val="center"/>
          </w:tcPr>
          <w:p w:rsidR="0058553F" w:rsidRPr="002633D1" w:rsidRDefault="0058553F" w:rsidP="0092476B">
            <w:pPr>
              <w:suppressAutoHyphens w:val="0"/>
              <w:spacing w:after="0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5.6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53F" w:rsidRPr="002633D1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Η διάρκεια ζωής των προϊόντων</w:t>
            </w:r>
            <w:r w:rsidRPr="002633D1">
              <w:rPr>
                <w:color w:val="000000"/>
                <w:sz w:val="20"/>
                <w:szCs w:val="20"/>
                <w:lang w:val="el-GR" w:eastAsia="el-GR"/>
              </w:rPr>
              <w:t xml:space="preserve"> πρέπει να μην είναι μικρότερη των 24 μηνών.</w:t>
            </w:r>
          </w:p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58553F" w:rsidRDefault="0058553F" w:rsidP="0058553F">
      <w:pPr>
        <w:rPr>
          <w:lang w:val="el-GR"/>
        </w:rPr>
      </w:pPr>
    </w:p>
    <w:p w:rsidR="0058553F" w:rsidRDefault="0058553F" w:rsidP="0058553F">
      <w:pPr>
        <w:rPr>
          <w:lang w:val="el-GR"/>
        </w:rPr>
      </w:pPr>
    </w:p>
    <w:p w:rsidR="0058553F" w:rsidRDefault="0058553F" w:rsidP="0058553F">
      <w:pPr>
        <w:rPr>
          <w:b/>
          <w:color w:val="2F5496" w:themeColor="accent5" w:themeShade="BF"/>
          <w:lang w:val="el-GR"/>
        </w:rPr>
      </w:pPr>
      <w:r w:rsidRPr="00E07801">
        <w:rPr>
          <w:b/>
          <w:color w:val="2F5496" w:themeColor="accent5" w:themeShade="BF"/>
          <w:lang w:val="el-GR"/>
        </w:rPr>
        <w:t>ΟΜΑΔΑ 6:</w:t>
      </w:r>
    </w:p>
    <w:p w:rsidR="00E07801" w:rsidRPr="00E07801" w:rsidRDefault="00E07801" w:rsidP="0058553F">
      <w:pPr>
        <w:rPr>
          <w:b/>
          <w:color w:val="2F5496" w:themeColor="accent5" w:themeShade="BF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138"/>
        <w:gridCol w:w="2363"/>
        <w:gridCol w:w="1418"/>
        <w:gridCol w:w="1023"/>
        <w:gridCol w:w="1496"/>
      </w:tblGrid>
      <w:tr w:rsidR="0058553F" w:rsidRPr="005B1247" w:rsidTr="0092476B">
        <w:trPr>
          <w:trHeight w:val="473"/>
          <w:jc w:val="center"/>
        </w:trPr>
        <w:tc>
          <w:tcPr>
            <w:tcW w:w="293" w:type="pct"/>
            <w:shd w:val="clear" w:color="auto" w:fill="D9D9D9"/>
            <w:vAlign w:val="center"/>
          </w:tcPr>
          <w:p w:rsidR="0058553F" w:rsidRPr="005B1247" w:rsidRDefault="0058553F" w:rsidP="0092476B">
            <w:pPr>
              <w:rPr>
                <w:b/>
                <w:lang w:val="el-GR"/>
              </w:rPr>
            </w:pPr>
            <w:r w:rsidRPr="005B1247">
              <w:rPr>
                <w:b/>
                <w:lang w:val="el-GR"/>
              </w:rPr>
              <w:t>A/A</w:t>
            </w:r>
          </w:p>
        </w:tc>
        <w:tc>
          <w:tcPr>
            <w:tcW w:w="1210" w:type="pct"/>
            <w:shd w:val="clear" w:color="auto" w:fill="D9D9D9"/>
            <w:vAlign w:val="center"/>
          </w:tcPr>
          <w:p w:rsidR="0058553F" w:rsidRPr="005B1247" w:rsidRDefault="0058553F" w:rsidP="0092476B">
            <w:pPr>
              <w:rPr>
                <w:b/>
                <w:lang w:val="el-GR"/>
              </w:rPr>
            </w:pPr>
            <w:r w:rsidRPr="005B1247">
              <w:rPr>
                <w:b/>
                <w:lang w:val="el-GR"/>
              </w:rPr>
              <w:t>Είδος</w:t>
            </w:r>
          </w:p>
        </w:tc>
        <w:tc>
          <w:tcPr>
            <w:tcW w:w="1335" w:type="pct"/>
            <w:shd w:val="clear" w:color="auto" w:fill="D9D9D9"/>
            <w:vAlign w:val="center"/>
          </w:tcPr>
          <w:p w:rsidR="0058553F" w:rsidRPr="005B1247" w:rsidRDefault="0058553F" w:rsidP="0092476B">
            <w:pPr>
              <w:rPr>
                <w:b/>
                <w:lang w:val="el-GR"/>
              </w:rPr>
            </w:pPr>
            <w:r w:rsidRPr="005B1247">
              <w:rPr>
                <w:b/>
                <w:lang w:val="el-GR"/>
              </w:rPr>
              <w:t>Τεχνικές προδιαγραφές</w:t>
            </w:r>
          </w:p>
        </w:tc>
        <w:tc>
          <w:tcPr>
            <w:tcW w:w="811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592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759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8553F" w:rsidRPr="005B1247" w:rsidTr="0092476B">
        <w:trPr>
          <w:trHeight w:val="537"/>
          <w:jc w:val="center"/>
        </w:trPr>
        <w:tc>
          <w:tcPr>
            <w:tcW w:w="293" w:type="pct"/>
            <w:vAlign w:val="center"/>
          </w:tcPr>
          <w:p w:rsidR="0058553F" w:rsidRPr="005B1247" w:rsidRDefault="0058553F" w:rsidP="0092476B">
            <w:pPr>
              <w:rPr>
                <w:lang w:val="el-GR"/>
              </w:rPr>
            </w:pPr>
            <w:r w:rsidRPr="005B1247">
              <w:rPr>
                <w:lang w:val="el-GR"/>
              </w:rPr>
              <w:t>6.1</w:t>
            </w:r>
          </w:p>
        </w:tc>
        <w:tc>
          <w:tcPr>
            <w:tcW w:w="1210" w:type="pct"/>
            <w:vAlign w:val="center"/>
          </w:tcPr>
          <w:p w:rsidR="0058553F" w:rsidRPr="005B1247" w:rsidRDefault="0058553F" w:rsidP="0092476B">
            <w:pPr>
              <w:rPr>
                <w:lang w:val="en-US"/>
              </w:rPr>
            </w:pPr>
            <w:r w:rsidRPr="005B1247">
              <w:rPr>
                <w:lang w:val="en-US"/>
              </w:rPr>
              <w:t xml:space="preserve">MILLIPLEX MAP Mouse Cytokine/Chemokine Magnetic Bead Panel - Immunology Multiplex Assay 5 </w:t>
            </w:r>
            <w:proofErr w:type="spellStart"/>
            <w:r w:rsidRPr="005B1247">
              <w:rPr>
                <w:lang w:val="en-US"/>
              </w:rPr>
              <w:t>plex</w:t>
            </w:r>
            <w:proofErr w:type="spellEnd"/>
            <w:r w:rsidRPr="005B1247">
              <w:rPr>
                <w:lang w:val="en-US"/>
              </w:rPr>
              <w:t xml:space="preserve"> </w:t>
            </w:r>
          </w:p>
          <w:p w:rsidR="0058553F" w:rsidRPr="005B1247" w:rsidRDefault="0058553F" w:rsidP="0092476B">
            <w:pPr>
              <w:rPr>
                <w:lang w:val="el-GR"/>
              </w:rPr>
            </w:pPr>
            <w:proofErr w:type="spellStart"/>
            <w:r w:rsidRPr="005B1247">
              <w:rPr>
                <w:lang w:val="el-GR"/>
              </w:rPr>
              <w:t>Κιτ</w:t>
            </w:r>
            <w:proofErr w:type="spellEnd"/>
          </w:p>
        </w:tc>
        <w:tc>
          <w:tcPr>
            <w:tcW w:w="1335" w:type="pct"/>
            <w:vAlign w:val="center"/>
          </w:tcPr>
          <w:p w:rsidR="0058553F" w:rsidRPr="005B1247" w:rsidRDefault="0058553F" w:rsidP="0092476B">
            <w:pPr>
              <w:rPr>
                <w:lang w:val="en-US"/>
              </w:rPr>
            </w:pPr>
            <w:proofErr w:type="spellStart"/>
            <w:r w:rsidRPr="005B1247">
              <w:rPr>
                <w:lang w:val="el-GR"/>
              </w:rPr>
              <w:t>Κιτ</w:t>
            </w:r>
            <w:proofErr w:type="spellEnd"/>
            <w:r w:rsidRPr="005B1247">
              <w:rPr>
                <w:lang w:val="el-GR"/>
              </w:rPr>
              <w:t xml:space="preserve"> που περιέχει όλα τα απαραίτητα αντιδραστήρια για την ταυτόχρονη ανάλυση και ποσοτικοποίηση 5 </w:t>
            </w:r>
            <w:proofErr w:type="spellStart"/>
            <w:r w:rsidRPr="005B1247">
              <w:rPr>
                <w:lang w:val="el-GR"/>
              </w:rPr>
              <w:t>κυτταροκινών</w:t>
            </w:r>
            <w:proofErr w:type="spellEnd"/>
            <w:r w:rsidRPr="005B1247">
              <w:rPr>
                <w:lang w:val="el-GR"/>
              </w:rPr>
              <w:t xml:space="preserve"> (</w:t>
            </w:r>
            <w:r w:rsidRPr="005B1247">
              <w:rPr>
                <w:lang w:val="en-US"/>
              </w:rPr>
              <w:t>IL</w:t>
            </w:r>
            <w:r w:rsidRPr="005B1247">
              <w:rPr>
                <w:lang w:val="el-GR"/>
              </w:rPr>
              <w:t xml:space="preserve">-2, </w:t>
            </w:r>
            <w:r w:rsidRPr="005B1247">
              <w:rPr>
                <w:lang w:val="en-US"/>
              </w:rPr>
              <w:t>IFN</w:t>
            </w:r>
            <w:r w:rsidRPr="005B1247">
              <w:rPr>
                <w:lang w:val="el-GR"/>
              </w:rPr>
              <w:t xml:space="preserve">-γ, </w:t>
            </w:r>
            <w:r w:rsidRPr="005B1247">
              <w:rPr>
                <w:lang w:val="en-US"/>
              </w:rPr>
              <w:t>TNF</w:t>
            </w:r>
            <w:r w:rsidRPr="005B1247">
              <w:rPr>
                <w:lang w:val="el-GR"/>
              </w:rPr>
              <w:t xml:space="preserve">α, </w:t>
            </w:r>
            <w:r w:rsidRPr="005B1247">
              <w:rPr>
                <w:lang w:val="en-US"/>
              </w:rPr>
              <w:t>IL</w:t>
            </w:r>
            <w:r w:rsidRPr="005B1247">
              <w:rPr>
                <w:lang w:val="el-GR"/>
              </w:rPr>
              <w:t xml:space="preserve">-4, </w:t>
            </w:r>
            <w:r w:rsidRPr="005B1247">
              <w:rPr>
                <w:lang w:val="en-US"/>
              </w:rPr>
              <w:t>IL</w:t>
            </w:r>
            <w:r w:rsidRPr="005B1247">
              <w:rPr>
                <w:lang w:val="el-GR"/>
              </w:rPr>
              <w:t xml:space="preserve">-10) σε  ορό, πλάσμα, υπερκείμενα </w:t>
            </w:r>
            <w:proofErr w:type="spellStart"/>
            <w:r w:rsidRPr="005B1247">
              <w:rPr>
                <w:lang w:val="el-GR"/>
              </w:rPr>
              <w:t>κυτταροκαλλιεργειών</w:t>
            </w:r>
            <w:proofErr w:type="spellEnd"/>
            <w:r w:rsidRPr="005B1247">
              <w:rPr>
                <w:lang w:val="el-GR"/>
              </w:rPr>
              <w:t xml:space="preserve"> και εκχύλισμα πρωτεΐνης από ιστούς και καλλιεργημένα κύτταρα ποντικού με τη χρήση μαγνητικών </w:t>
            </w:r>
            <w:proofErr w:type="spellStart"/>
            <w:r w:rsidRPr="005B1247">
              <w:rPr>
                <w:lang w:val="el-GR"/>
              </w:rPr>
              <w:t>μικροσφαιριδίων</w:t>
            </w:r>
            <w:proofErr w:type="spellEnd"/>
            <w:r w:rsidRPr="005B1247">
              <w:rPr>
                <w:lang w:val="el-GR"/>
              </w:rPr>
              <w:t xml:space="preserve"> στην πλατφόρμα </w:t>
            </w:r>
            <w:proofErr w:type="spellStart"/>
            <w:r w:rsidRPr="005B1247">
              <w:rPr>
                <w:lang w:val="el-GR"/>
              </w:rPr>
              <w:t>Luminex</w:t>
            </w:r>
            <w:proofErr w:type="spellEnd"/>
            <w:r w:rsidRPr="005B1247">
              <w:rPr>
                <w:lang w:val="el-GR"/>
              </w:rPr>
              <w:t xml:space="preserve">. Τα μαγνητικά σφαιρίδια για την κάθε </w:t>
            </w:r>
            <w:proofErr w:type="spellStart"/>
            <w:r w:rsidRPr="005B1247">
              <w:rPr>
                <w:lang w:val="el-GR"/>
              </w:rPr>
              <w:t>κυτταροκίνη</w:t>
            </w:r>
            <w:proofErr w:type="spellEnd"/>
            <w:r w:rsidRPr="005B1247">
              <w:rPr>
                <w:lang w:val="el-GR"/>
              </w:rPr>
              <w:t xml:space="preserve"> να περιέχονται σε ξεχωριστά φιαλίδια και να μην είναι προ-αναμειγμένα. Να απαιτείται μικρός όγκος δείγματος:  25μl. Να έχει εύρος μέτρησης 3.2–10,000 </w:t>
            </w:r>
            <w:proofErr w:type="spellStart"/>
            <w:r w:rsidRPr="005B1247">
              <w:rPr>
                <w:lang w:val="el-GR"/>
              </w:rPr>
              <w:t>pg</w:t>
            </w:r>
            <w:proofErr w:type="spellEnd"/>
            <w:r w:rsidRPr="005B1247">
              <w:rPr>
                <w:lang w:val="el-GR"/>
              </w:rPr>
              <w:t>/</w:t>
            </w:r>
            <w:proofErr w:type="spellStart"/>
            <w:r w:rsidRPr="005B1247">
              <w:rPr>
                <w:lang w:val="el-GR"/>
              </w:rPr>
              <w:t>mL</w:t>
            </w:r>
            <w:proofErr w:type="spellEnd"/>
            <w:r w:rsidRPr="005B1247">
              <w:rPr>
                <w:lang w:val="el-GR"/>
              </w:rPr>
              <w:t xml:space="preserve"> και να είναι εύκολη και ευαίσθητη η δοκιμασία. Να διατίθεται σε μορφή πλάκας 96 θέσεων / </w:t>
            </w:r>
            <w:proofErr w:type="spellStart"/>
            <w:r w:rsidRPr="005B1247">
              <w:rPr>
                <w:lang w:val="el-GR"/>
              </w:rPr>
              <w:t>κιτ</w:t>
            </w:r>
            <w:proofErr w:type="spellEnd"/>
            <w:r w:rsidRPr="005B1247">
              <w:rPr>
                <w:lang w:val="en-US"/>
              </w:rPr>
              <w:t>.</w:t>
            </w:r>
          </w:p>
        </w:tc>
        <w:tc>
          <w:tcPr>
            <w:tcW w:w="811" w:type="pct"/>
          </w:tcPr>
          <w:p w:rsidR="0058553F" w:rsidRPr="005B1247" w:rsidRDefault="0058553F" w:rsidP="0092476B">
            <w:pPr>
              <w:rPr>
                <w:lang w:val="el-GR"/>
              </w:rPr>
            </w:pPr>
          </w:p>
        </w:tc>
        <w:tc>
          <w:tcPr>
            <w:tcW w:w="592" w:type="pct"/>
          </w:tcPr>
          <w:p w:rsidR="0058553F" w:rsidRPr="005B1247" w:rsidRDefault="0058553F" w:rsidP="0092476B">
            <w:pPr>
              <w:rPr>
                <w:lang w:val="el-GR"/>
              </w:rPr>
            </w:pPr>
          </w:p>
        </w:tc>
        <w:tc>
          <w:tcPr>
            <w:tcW w:w="759" w:type="pct"/>
          </w:tcPr>
          <w:p w:rsidR="0058553F" w:rsidRPr="005B1247" w:rsidRDefault="0058553F" w:rsidP="0092476B">
            <w:pPr>
              <w:rPr>
                <w:lang w:val="el-GR"/>
              </w:rPr>
            </w:pPr>
          </w:p>
        </w:tc>
      </w:tr>
      <w:tr w:rsidR="0058553F" w:rsidRPr="00580998" w:rsidTr="0092476B">
        <w:trPr>
          <w:trHeight w:val="404"/>
          <w:jc w:val="center"/>
        </w:trPr>
        <w:tc>
          <w:tcPr>
            <w:tcW w:w="293" w:type="pct"/>
            <w:vAlign w:val="center"/>
          </w:tcPr>
          <w:p w:rsidR="0058553F" w:rsidRPr="002633D1" w:rsidRDefault="0058553F" w:rsidP="0092476B">
            <w:pPr>
              <w:suppressAutoHyphens w:val="0"/>
              <w:spacing w:after="0"/>
              <w:rPr>
                <w:color w:val="000000"/>
                <w:sz w:val="20"/>
                <w:szCs w:val="20"/>
                <w:lang w:val="en-US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6.2</w:t>
            </w: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53F" w:rsidRPr="002633D1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Η διάρκεια ζωής των προϊόντων</w:t>
            </w:r>
            <w:r w:rsidRPr="002633D1">
              <w:rPr>
                <w:color w:val="000000"/>
                <w:sz w:val="20"/>
                <w:szCs w:val="20"/>
                <w:lang w:val="el-GR" w:eastAsia="el-GR"/>
              </w:rPr>
              <w:t xml:space="preserve"> πρέπει να μην είναι μικρότερη των 24 μηνών.</w:t>
            </w:r>
          </w:p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000000"/>
            </w:tcBorders>
          </w:tcPr>
          <w:p w:rsidR="0058553F" w:rsidRPr="00580998" w:rsidRDefault="0058553F" w:rsidP="0092476B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58553F" w:rsidRDefault="0058553F" w:rsidP="0058553F">
      <w:pPr>
        <w:rPr>
          <w:lang w:val="el-GR"/>
        </w:rPr>
      </w:pPr>
    </w:p>
    <w:p w:rsidR="0058553F" w:rsidRDefault="0058553F" w:rsidP="0058553F">
      <w:pPr>
        <w:rPr>
          <w:lang w:val="el-GR"/>
        </w:rPr>
      </w:pPr>
    </w:p>
    <w:p w:rsidR="0058553F" w:rsidRPr="00E07801" w:rsidRDefault="0058553F" w:rsidP="0058553F">
      <w:pPr>
        <w:rPr>
          <w:b/>
          <w:color w:val="2F5496" w:themeColor="accent5" w:themeShade="BF"/>
          <w:lang w:val="el-GR"/>
        </w:rPr>
      </w:pPr>
      <w:r w:rsidRPr="00E07801">
        <w:rPr>
          <w:b/>
          <w:color w:val="2F5496" w:themeColor="accent5" w:themeShade="BF"/>
          <w:lang w:val="el-GR"/>
        </w:rPr>
        <w:t>ΟΜΑΔΑ 7:</w:t>
      </w:r>
    </w:p>
    <w:p w:rsidR="0058553F" w:rsidRDefault="0058553F" w:rsidP="0058553F">
      <w:pPr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949"/>
        <w:gridCol w:w="1369"/>
        <w:gridCol w:w="1315"/>
        <w:gridCol w:w="1765"/>
      </w:tblGrid>
      <w:tr w:rsidR="0058553F" w:rsidRPr="001655BA" w:rsidTr="0092476B">
        <w:trPr>
          <w:trHeight w:val="473"/>
          <w:jc w:val="center"/>
        </w:trPr>
        <w:tc>
          <w:tcPr>
            <w:tcW w:w="343" w:type="pct"/>
            <w:shd w:val="clear" w:color="auto" w:fill="D9D9D9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b/>
                <w:sz w:val="20"/>
                <w:szCs w:val="20"/>
                <w:lang w:val="el-GR" w:eastAsia="en-US"/>
              </w:rPr>
              <w:lastRenderedPageBreak/>
              <w:t>A/A</w:t>
            </w:r>
          </w:p>
        </w:tc>
        <w:tc>
          <w:tcPr>
            <w:tcW w:w="2190" w:type="pct"/>
            <w:shd w:val="clear" w:color="auto" w:fill="D9D9D9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b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b/>
                <w:sz w:val="20"/>
                <w:szCs w:val="20"/>
                <w:lang w:val="el-GR" w:eastAsia="en-US"/>
              </w:rPr>
              <w:t>Τεχνικές προδιαγραφές</w:t>
            </w:r>
          </w:p>
        </w:tc>
        <w:tc>
          <w:tcPr>
            <w:tcW w:w="759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ΝΑΙ</w:t>
            </w:r>
          </w:p>
        </w:tc>
        <w:tc>
          <w:tcPr>
            <w:tcW w:w="729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ΟΧΙ</w:t>
            </w:r>
          </w:p>
        </w:tc>
        <w:tc>
          <w:tcPr>
            <w:tcW w:w="979" w:type="pct"/>
          </w:tcPr>
          <w:p w:rsidR="0058553F" w:rsidRPr="006301DF" w:rsidRDefault="0058553F" w:rsidP="0092476B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bCs/>
                <w:szCs w:val="22"/>
                <w:lang w:val="el-GR" w:eastAsia="en-US"/>
              </w:rPr>
            </w:pPr>
            <w:r>
              <w:rPr>
                <w:rFonts w:eastAsia="Calibri" w:cs="Times New Roman"/>
                <w:b/>
                <w:bCs/>
                <w:szCs w:val="22"/>
                <w:lang w:val="el-GR" w:eastAsia="en-US"/>
              </w:rPr>
              <w:t>ΠΑΡΑΠΟΜΠΗ</w:t>
            </w:r>
          </w:p>
        </w:tc>
      </w:tr>
      <w:tr w:rsidR="0058553F" w:rsidRPr="001655BA" w:rsidTr="0092476B">
        <w:trPr>
          <w:trHeight w:val="313"/>
          <w:jc w:val="center"/>
        </w:trPr>
        <w:tc>
          <w:tcPr>
            <w:tcW w:w="343" w:type="pct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7.1</w:t>
            </w:r>
          </w:p>
        </w:tc>
        <w:tc>
          <w:tcPr>
            <w:tcW w:w="2190" w:type="pct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συμμορφώνονται με την κοινοτική οδηγία για τα μέσα ατομικής προστασίας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ppe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eu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) 2016/425 και να προστατεύουν από υγρά καθ’ όλο το μήκος τους όπως προβλέπεται από το πρότυπο ΕΝ420. 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συμμορφώνονται με την κοινοτική οδηγία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mdr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eu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) 2017/745 και το πρότυπο ΕΝ374-2 για τα ιατρικά γάντια και να έχουν αντοχή στους μικροοργανισμούς τουλάχιστον κατηγορίας 2 ή </w:t>
            </w:r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accepted</w:t>
            </w: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quality</w:t>
            </w: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level</w:t>
            </w: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aql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) 1,5.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προστατεύουν από χημικούς κινδύνους ήσσονος σημασίας και συμφωνία με το πρότυπο ΕΝ16523 να μην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διαπερνώνται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τουλάχιστον από τα εξής α. Από καυστικό νάτριο 40% (επίπεδο 6) β. Από αιθανόλη 55% (επίπεδο 5) γ. Από υπεροξείδιο του υδρογόνου 30% (επίπεδο 6).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Να είναι ανθεκτικά σε δύναμη θραύσης της τάξης των 6</w:t>
            </w:r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N</w:t>
            </w: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.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συμμορφώνονται με το πρότυπο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astm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f</w:t>
            </w: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1671  (στα παθογόνα που μεταδίδονται μέσω του αίματος) 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συμμορφώνονται με το πρότυπο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astm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  <w:r w:rsidRPr="001655BA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6978 (ανθεκτικά στη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διαπέραση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φαρμάκων χημειοθεραπείας)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highlight w:val="lightGray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συμμορφώνονται με το πρότυπο ΕΝ374-1 και να έχουν βάρος ίσο ή μεγαλύτερο από 4.8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γραμμαρια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/τεμάχιο. Να παρέχεται σε συσκευασία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κιβ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. 10 Χ 100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τεμ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59" w:type="pct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29" w:type="pct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79" w:type="pct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1655BA" w:rsidTr="0092476B">
        <w:trPr>
          <w:trHeight w:val="313"/>
          <w:jc w:val="center"/>
        </w:trPr>
        <w:tc>
          <w:tcPr>
            <w:tcW w:w="343" w:type="pct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t>7.2</w:t>
            </w:r>
          </w:p>
        </w:tc>
        <w:tc>
          <w:tcPr>
            <w:tcW w:w="2190" w:type="pct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συμμορφώνονται με την κοινοτική οδηγία για τα μέσα ατομικής προστασίας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ppe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eu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) 2016/425 και να προστατεύουν από υγρά καθ’ όλο το μήκος τους όπως προβλέπεται από το πρότυπο ΕΝ420. 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συμμορφώνονται με την κοινοτική οδηγία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mdr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eu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) 2017/745 και το πρότυπο ΕΝ374-2 για τα ιατρικά γάντια και να έχουν αντοχή στους μικροοργανισμούς τουλάχιστον κατηγορίας 2 ή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accepted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quality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level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(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aql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) 1,5.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προστατεύουν από χημικούς κινδύνους ήσσονος σημασίας και συμφωνία με το πρότυπο ΕΝ16523 να μην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διαπερνώνται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τουλάχιστον από τα εξής α. Από καυστικό νάτριο 40% (επίπεδο 6) β. Από αιθανόλη 55% (επίπεδο 5) γ. Από υπεροξείδιο του υδρογόνου 30% (επίπεδο 6).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Να είναι ανθεκτικά σε δύναμη θραύσης της τάξης των 6N.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συμμορφώνονται με το πρότυπο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astm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f1671  (στα παθογόνα που μεταδίδονται μέσω του αίματος) 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lastRenderedPageBreak/>
              <w:t xml:space="preserve">Να συμμορφώνονται με το πρότυπο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astm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d6978 (ανθεκτικά στη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διαπέραση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 φαρμάκων χημειοθεραπείας)</w:t>
            </w:r>
          </w:p>
          <w:p w:rsidR="0058553F" w:rsidRPr="001655BA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Να συμμορφώνονται με το πρότυπο ΕΝ374-1 και να έχουν βάρος ίσο ή μεγαλύτερο από 4.8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γραμμαρια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/τεμάχιο. Να παρέχεται σε συσκευασία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κιβ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 xml:space="preserve">. 10 Χ 100 </w:t>
            </w:r>
            <w:proofErr w:type="spellStart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τεμ</w:t>
            </w:r>
            <w:proofErr w:type="spellEnd"/>
            <w:r w:rsidRPr="001655BA">
              <w:rPr>
                <w:rFonts w:eastAsia="Calibri"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759" w:type="pct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29" w:type="pct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79" w:type="pct"/>
            <w:vAlign w:val="center"/>
          </w:tcPr>
          <w:p w:rsidR="0058553F" w:rsidRPr="001655BA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58553F" w:rsidRPr="00580998" w:rsidTr="0092476B">
        <w:trPr>
          <w:trHeight w:val="31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3F" w:rsidRPr="006877EC" w:rsidRDefault="0058553F" w:rsidP="0092476B">
            <w:pPr>
              <w:suppressAutoHyphens w:val="0"/>
              <w:spacing w:after="0"/>
              <w:jc w:val="center"/>
              <w:rPr>
                <w:rFonts w:eastAsia="Calibri"/>
                <w:sz w:val="20"/>
                <w:szCs w:val="20"/>
                <w:lang w:val="el-GR" w:eastAsia="en-US"/>
              </w:rPr>
            </w:pPr>
            <w:r>
              <w:rPr>
                <w:rFonts w:eastAsia="Calibri"/>
                <w:sz w:val="20"/>
                <w:szCs w:val="20"/>
                <w:lang w:val="el-GR" w:eastAsia="en-US"/>
              </w:rPr>
              <w:lastRenderedPageBreak/>
              <w:t>7.3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3F" w:rsidRPr="006877EC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  <w:r w:rsidRPr="006877EC">
              <w:rPr>
                <w:rFonts w:eastAsia="Calibri"/>
                <w:sz w:val="20"/>
                <w:szCs w:val="20"/>
                <w:lang w:val="el-GR" w:eastAsia="en-US"/>
              </w:rPr>
              <w:t>Η διάρκεια ζωής των προϊόντων πρέπει να μην είναι μικρότερη των 24 μηνών.</w:t>
            </w:r>
          </w:p>
          <w:p w:rsidR="0058553F" w:rsidRPr="006877EC" w:rsidRDefault="0058553F" w:rsidP="0092476B">
            <w:pPr>
              <w:suppressAutoHyphens w:val="0"/>
              <w:spacing w:after="0"/>
              <w:jc w:val="left"/>
              <w:rPr>
                <w:rFonts w:eastAsia="Calibri"/>
                <w:sz w:val="20"/>
                <w:szCs w:val="20"/>
                <w:lang w:val="el-GR"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53F" w:rsidRPr="00580998" w:rsidRDefault="0058553F" w:rsidP="0092476B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58553F" w:rsidRDefault="0058553F" w:rsidP="0058553F">
      <w:pPr>
        <w:rPr>
          <w:lang w:val="el-GR"/>
        </w:rPr>
      </w:pPr>
    </w:p>
    <w:p w:rsidR="0058553F" w:rsidRDefault="0058553F" w:rsidP="0058553F">
      <w:pPr>
        <w:rPr>
          <w:lang w:val="el-GR"/>
        </w:rPr>
      </w:pPr>
      <w:bookmarkStart w:id="0" w:name="_GoBack"/>
      <w:bookmarkEnd w:id="0"/>
    </w:p>
    <w:p w:rsidR="0058553F" w:rsidRPr="0058553F" w:rsidRDefault="0058553F" w:rsidP="0058553F">
      <w:pPr>
        <w:rPr>
          <w:lang w:val="el-GR"/>
        </w:rPr>
      </w:pPr>
    </w:p>
    <w:sectPr w:rsidR="0058553F" w:rsidRPr="0058553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4B" w:rsidRDefault="00E1714B" w:rsidP="00E1714B">
      <w:pPr>
        <w:spacing w:after="0"/>
      </w:pPr>
      <w:r>
        <w:separator/>
      </w:r>
    </w:p>
  </w:endnote>
  <w:endnote w:type="continuationSeparator" w:id="0">
    <w:p w:rsidR="00E1714B" w:rsidRDefault="00E1714B" w:rsidP="00E17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0171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14B" w:rsidRDefault="00E171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80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1714B" w:rsidRDefault="00E17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4B" w:rsidRDefault="00E1714B" w:rsidP="00E1714B">
      <w:pPr>
        <w:spacing w:after="0"/>
      </w:pPr>
      <w:r>
        <w:separator/>
      </w:r>
    </w:p>
  </w:footnote>
  <w:footnote w:type="continuationSeparator" w:id="0">
    <w:p w:rsidR="00E1714B" w:rsidRDefault="00E1714B" w:rsidP="00E171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3F"/>
    <w:rsid w:val="0058553F"/>
    <w:rsid w:val="00E07801"/>
    <w:rsid w:val="00E1714B"/>
    <w:rsid w:val="00E8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0FB6B-4AB1-446A-940E-B234C387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3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8553F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553F"/>
    <w:rPr>
      <w:rFonts w:ascii="Arial" w:eastAsia="Times New Roman" w:hAnsi="Arial" w:cs="Arial"/>
      <w:b/>
      <w:color w:val="002060"/>
      <w:sz w:val="24"/>
      <w:lang w:eastAsia="ar-SA"/>
    </w:rPr>
  </w:style>
  <w:style w:type="paragraph" w:customStyle="1" w:styleId="normalwithoutspacing">
    <w:name w:val="normal_without_spacing"/>
    <w:basedOn w:val="Normal"/>
    <w:rsid w:val="0058553F"/>
    <w:pPr>
      <w:spacing w:after="60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5855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1714B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714B"/>
    <w:rPr>
      <w:rFonts w:ascii="Calibri" w:eastAsia="Times New Roman" w:hAnsi="Calibri" w:cs="Calibri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1714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714B"/>
    <w:rPr>
      <w:rFonts w:ascii="Calibri" w:eastAsia="Times New Roman" w:hAnsi="Calibri" w:cs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2788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 Chousakou</dc:creator>
  <cp:keywords/>
  <dc:description/>
  <cp:lastModifiedBy>Aleka Chousakou</cp:lastModifiedBy>
  <cp:revision>3</cp:revision>
  <dcterms:created xsi:type="dcterms:W3CDTF">2022-01-14T10:35:00Z</dcterms:created>
  <dcterms:modified xsi:type="dcterms:W3CDTF">2022-01-14T10:38:00Z</dcterms:modified>
</cp:coreProperties>
</file>