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33" w:rsidRDefault="00781733" w:rsidP="00781733">
      <w:pPr>
        <w:pStyle w:val="Heading2"/>
        <w:tabs>
          <w:tab w:val="clear" w:pos="567"/>
          <w:tab w:val="left" w:pos="0"/>
        </w:tabs>
        <w:spacing w:before="0" w:after="120"/>
        <w:ind w:left="0" w:firstLine="0"/>
        <w:rPr>
          <w:rFonts w:ascii="Calibri" w:hAnsi="Calibri"/>
          <w:szCs w:val="24"/>
          <w:lang w:val="el-GR"/>
        </w:rPr>
      </w:pPr>
      <w:bookmarkStart w:id="0" w:name="_Toc83887032"/>
      <w:bookmarkStart w:id="1" w:name="_GoBack"/>
      <w:bookmarkEnd w:id="1"/>
    </w:p>
    <w:p w:rsidR="00781733" w:rsidRDefault="00781733" w:rsidP="00781733">
      <w:pPr>
        <w:pStyle w:val="Heading2"/>
        <w:tabs>
          <w:tab w:val="clear" w:pos="567"/>
          <w:tab w:val="left" w:pos="0"/>
        </w:tabs>
        <w:spacing w:before="0" w:after="120"/>
        <w:ind w:left="0" w:firstLine="0"/>
        <w:rPr>
          <w:rFonts w:ascii="Calibri" w:hAnsi="Calibri"/>
          <w:szCs w:val="24"/>
          <w:lang w:val="el-GR"/>
        </w:rPr>
      </w:pPr>
    </w:p>
    <w:p w:rsidR="00781733" w:rsidRDefault="00781733" w:rsidP="00781733">
      <w:pPr>
        <w:pStyle w:val="Heading2"/>
        <w:tabs>
          <w:tab w:val="clear" w:pos="567"/>
          <w:tab w:val="left" w:pos="0"/>
        </w:tabs>
        <w:spacing w:before="0" w:after="120"/>
        <w:ind w:left="0" w:firstLine="0"/>
        <w:rPr>
          <w:rFonts w:ascii="Calibri" w:hAnsi="Calibri"/>
          <w:szCs w:val="24"/>
          <w:lang w:val="el-GR"/>
        </w:rPr>
      </w:pPr>
    </w:p>
    <w:p w:rsidR="00781733" w:rsidRPr="008169BF" w:rsidRDefault="00781733" w:rsidP="00781733">
      <w:pPr>
        <w:pStyle w:val="Heading2"/>
        <w:tabs>
          <w:tab w:val="clear" w:pos="567"/>
          <w:tab w:val="left" w:pos="0"/>
        </w:tabs>
        <w:spacing w:before="0" w:after="120"/>
        <w:ind w:left="0" w:firstLine="0"/>
        <w:rPr>
          <w:rFonts w:ascii="Calibri" w:hAnsi="Calibri"/>
          <w:szCs w:val="24"/>
          <w:lang w:val="el-GR"/>
        </w:rPr>
      </w:pPr>
      <w:r w:rsidRPr="008169BF">
        <w:rPr>
          <w:rFonts w:ascii="Calibri" w:hAnsi="Calibri"/>
          <w:szCs w:val="24"/>
          <w:lang w:val="el-GR"/>
        </w:rPr>
        <w:t>ΠΑΡΑΡΤΗΜΑ ΙΙ ΠΙΝΑΚΕΣ ΣΥΜΜΟΡΦΩΣΗΣ</w:t>
      </w:r>
      <w:bookmarkEnd w:id="0"/>
    </w:p>
    <w:p w:rsidR="00781733" w:rsidRDefault="00781733" w:rsidP="00781733">
      <w:pPr>
        <w:pStyle w:val="normalwithoutspacing"/>
        <w:spacing w:after="120"/>
        <w:rPr>
          <w:b/>
          <w:bCs/>
          <w:color w:val="000000"/>
          <w:sz w:val="24"/>
        </w:rPr>
      </w:pPr>
    </w:p>
    <w:p w:rsidR="00781733" w:rsidRPr="00E94B94" w:rsidRDefault="00781733" w:rsidP="00781733">
      <w:pPr>
        <w:pStyle w:val="normalwithoutspacing"/>
        <w:spacing w:after="120"/>
        <w:rPr>
          <w:b/>
          <w:color w:val="000000"/>
          <w:sz w:val="24"/>
        </w:rPr>
      </w:pPr>
      <w:r>
        <w:rPr>
          <w:b/>
          <w:bCs/>
          <w:color w:val="000000"/>
          <w:sz w:val="24"/>
        </w:rPr>
        <w:t>Ο</w:t>
      </w:r>
      <w:r w:rsidRPr="00E94B94">
        <w:rPr>
          <w:b/>
          <w:bCs/>
          <w:color w:val="000000"/>
          <w:sz w:val="24"/>
        </w:rPr>
        <w:t xml:space="preserve"> </w:t>
      </w:r>
      <w:r>
        <w:rPr>
          <w:b/>
          <w:bCs/>
          <w:color w:val="000000"/>
          <w:sz w:val="24"/>
          <w:u w:val="single"/>
        </w:rPr>
        <w:t>Πίνακας</w:t>
      </w:r>
      <w:r w:rsidRPr="00D54FF6">
        <w:rPr>
          <w:b/>
          <w:bCs/>
          <w:color w:val="000000"/>
          <w:sz w:val="24"/>
          <w:u w:val="single"/>
        </w:rPr>
        <w:t xml:space="preserve"> Συμμόρφωσης</w:t>
      </w:r>
      <w:r w:rsidRPr="00E94B94">
        <w:rPr>
          <w:b/>
          <w:bCs/>
          <w:color w:val="000000"/>
          <w:sz w:val="24"/>
        </w:rPr>
        <w:t xml:space="preserve"> όπως παρατί</w:t>
      </w:r>
      <w:r>
        <w:rPr>
          <w:b/>
          <w:bCs/>
          <w:color w:val="000000"/>
          <w:sz w:val="24"/>
        </w:rPr>
        <w:t>θενται κάτωθι, αφού συμπληρωθεί</w:t>
      </w:r>
      <w:r w:rsidRPr="00E94B94">
        <w:rPr>
          <w:b/>
          <w:bCs/>
          <w:color w:val="000000"/>
          <w:sz w:val="24"/>
        </w:rPr>
        <w:t xml:space="preserve"> πλήρως, θα πρέπει</w:t>
      </w:r>
      <w:r>
        <w:rPr>
          <w:b/>
          <w:bCs/>
          <w:color w:val="000000"/>
          <w:sz w:val="24"/>
        </w:rPr>
        <w:t xml:space="preserve"> </w:t>
      </w:r>
      <w:r w:rsidRPr="00E94B94">
        <w:rPr>
          <w:b/>
          <w:bCs/>
          <w:color w:val="000000"/>
          <w:sz w:val="24"/>
        </w:rPr>
        <w:t>να</w:t>
      </w:r>
      <w:r>
        <w:rPr>
          <w:b/>
          <w:bCs/>
          <w:color w:val="000000"/>
          <w:sz w:val="24"/>
        </w:rPr>
        <w:t xml:space="preserve"> υποβληθεί</w:t>
      </w:r>
      <w:r w:rsidRPr="00E94B94">
        <w:rPr>
          <w:b/>
          <w:bCs/>
          <w:color w:val="000000"/>
          <w:sz w:val="24"/>
        </w:rPr>
        <w:t xml:space="preserve"> με την Τεχνική προσφορά του οικονομικού φορέα όπως απαιτείται βάσει της </w:t>
      </w:r>
      <w:r w:rsidRPr="00B21764">
        <w:rPr>
          <w:b/>
          <w:bCs/>
          <w:color w:val="000000"/>
          <w:sz w:val="24"/>
        </w:rPr>
        <w:t>παραγράφου 2.4.3.2 της διακήρυξης.</w:t>
      </w:r>
    </w:p>
    <w:p w:rsidR="00781733" w:rsidRDefault="00781733" w:rsidP="00781733">
      <w:pPr>
        <w:suppressAutoHyphens w:val="0"/>
        <w:autoSpaceDE w:val="0"/>
        <w:rPr>
          <w:rFonts w:eastAsia="SimSun"/>
          <w:sz w:val="24"/>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486"/>
        <w:gridCol w:w="1024"/>
        <w:gridCol w:w="1155"/>
        <w:gridCol w:w="1773"/>
      </w:tblGrid>
      <w:tr w:rsidR="00781733" w:rsidRPr="006D1B24" w:rsidTr="005B3E1F">
        <w:trPr>
          <w:trHeight w:val="945"/>
        </w:trPr>
        <w:tc>
          <w:tcPr>
            <w:tcW w:w="5000" w:type="pct"/>
            <w:gridSpan w:val="5"/>
            <w:shd w:val="clear" w:color="auto" w:fill="auto"/>
          </w:tcPr>
          <w:p w:rsidR="00781733" w:rsidRPr="0026134B" w:rsidRDefault="00781733" w:rsidP="005B3E1F">
            <w:pPr>
              <w:suppressAutoHyphens w:val="0"/>
              <w:spacing w:after="0"/>
              <w:jc w:val="center"/>
              <w:rPr>
                <w:rFonts w:eastAsia="Calibri" w:cs="Times New Roman"/>
                <w:b/>
                <w:bCs/>
                <w:szCs w:val="22"/>
                <w:lang w:val="el-GR" w:eastAsia="en-US"/>
              </w:rPr>
            </w:pPr>
            <w:r w:rsidRPr="0026134B">
              <w:rPr>
                <w:rFonts w:eastAsia="Calibri" w:cs="Times New Roman"/>
                <w:b/>
                <w:bCs/>
                <w:szCs w:val="22"/>
                <w:lang w:val="el-GR" w:eastAsia="en-US"/>
              </w:rPr>
              <w:t>ΟΜΑΔΑ 1</w:t>
            </w:r>
          </w:p>
          <w:p w:rsidR="00781733" w:rsidRPr="0026134B" w:rsidRDefault="00781733" w:rsidP="005B3E1F">
            <w:pPr>
              <w:suppressAutoHyphens w:val="0"/>
              <w:spacing w:after="0"/>
              <w:jc w:val="center"/>
              <w:rPr>
                <w:rFonts w:eastAsia="Calibri" w:cs="Times New Roman"/>
                <w:b/>
                <w:bCs/>
                <w:szCs w:val="22"/>
                <w:lang w:val="el-GR" w:eastAsia="en-US"/>
              </w:rPr>
            </w:pPr>
            <w:r w:rsidRPr="0026134B">
              <w:rPr>
                <w:rFonts w:eastAsia="Calibri" w:cs="Times New Roman"/>
                <w:b/>
                <w:bCs/>
                <w:szCs w:val="22"/>
                <w:lang w:val="el-GR" w:eastAsia="en-US"/>
              </w:rPr>
              <w:t>Δεχόμαστε προσφορές για το σ</w:t>
            </w:r>
            <w:r>
              <w:rPr>
                <w:rFonts w:eastAsia="Calibri" w:cs="Times New Roman"/>
                <w:b/>
                <w:bCs/>
                <w:szCs w:val="22"/>
                <w:lang w:val="el-GR" w:eastAsia="en-US"/>
              </w:rPr>
              <w:t xml:space="preserve">ύνολο των προϊόντων της ομάδας </w:t>
            </w:r>
          </w:p>
        </w:tc>
      </w:tr>
      <w:tr w:rsidR="00781733" w:rsidRPr="0026134B" w:rsidTr="005B3E1F">
        <w:trPr>
          <w:trHeight w:val="631"/>
        </w:trPr>
        <w:tc>
          <w:tcPr>
            <w:tcW w:w="293" w:type="pct"/>
            <w:shd w:val="clear" w:color="auto" w:fill="auto"/>
            <w:hideMark/>
          </w:tcPr>
          <w:p w:rsidR="00781733" w:rsidRPr="0026134B" w:rsidRDefault="00781733" w:rsidP="005B3E1F">
            <w:pPr>
              <w:suppressAutoHyphens w:val="0"/>
              <w:spacing w:after="0"/>
              <w:jc w:val="center"/>
              <w:rPr>
                <w:rFonts w:eastAsia="Calibri" w:cs="Times New Roman"/>
                <w:b/>
                <w:bCs/>
                <w:szCs w:val="22"/>
                <w:lang w:val="en-US" w:eastAsia="en-US"/>
              </w:rPr>
            </w:pPr>
            <w:r w:rsidRPr="0026134B">
              <w:rPr>
                <w:rFonts w:eastAsia="Calibri" w:cs="Times New Roman"/>
                <w:b/>
                <w:bCs/>
                <w:szCs w:val="22"/>
                <w:lang w:val="en-US" w:eastAsia="en-US"/>
              </w:rPr>
              <w:t>A/A</w:t>
            </w:r>
          </w:p>
        </w:tc>
        <w:tc>
          <w:tcPr>
            <w:tcW w:w="2495" w:type="pct"/>
            <w:shd w:val="clear" w:color="auto" w:fill="auto"/>
            <w:hideMark/>
          </w:tcPr>
          <w:p w:rsidR="00781733" w:rsidRPr="0026134B" w:rsidRDefault="00781733" w:rsidP="005B3E1F">
            <w:pPr>
              <w:suppressAutoHyphens w:val="0"/>
              <w:spacing w:after="0"/>
              <w:jc w:val="center"/>
              <w:rPr>
                <w:rFonts w:eastAsia="Calibri" w:cs="Times New Roman"/>
                <w:b/>
                <w:bCs/>
                <w:szCs w:val="22"/>
                <w:lang w:val="en-US" w:eastAsia="en-US"/>
              </w:rPr>
            </w:pPr>
            <w:r w:rsidRPr="0026134B">
              <w:rPr>
                <w:rFonts w:eastAsia="Calibri" w:cs="Times New Roman"/>
                <w:b/>
                <w:bCs/>
                <w:szCs w:val="22"/>
                <w:lang w:val="en-US" w:eastAsia="en-US"/>
              </w:rPr>
              <w:t>Τεχνικές Προδιαγραφές</w:t>
            </w:r>
          </w:p>
        </w:tc>
        <w:tc>
          <w:tcPr>
            <w:tcW w:w="575" w:type="pct"/>
          </w:tcPr>
          <w:p w:rsidR="00781733" w:rsidRPr="006301DF" w:rsidRDefault="00781733" w:rsidP="005B3E1F">
            <w:pPr>
              <w:suppressAutoHyphens w:val="0"/>
              <w:spacing w:after="0"/>
              <w:jc w:val="center"/>
              <w:rPr>
                <w:rFonts w:eastAsia="Calibri" w:cs="Times New Roman"/>
                <w:b/>
                <w:bCs/>
                <w:szCs w:val="22"/>
                <w:lang w:val="el-GR" w:eastAsia="en-US"/>
              </w:rPr>
            </w:pPr>
            <w:r>
              <w:rPr>
                <w:rFonts w:eastAsia="Calibri" w:cs="Times New Roman"/>
                <w:b/>
                <w:bCs/>
                <w:szCs w:val="22"/>
                <w:lang w:val="el-GR" w:eastAsia="en-US"/>
              </w:rPr>
              <w:t>ΝΑΙ</w:t>
            </w:r>
          </w:p>
        </w:tc>
        <w:tc>
          <w:tcPr>
            <w:tcW w:w="647" w:type="pct"/>
          </w:tcPr>
          <w:p w:rsidR="00781733" w:rsidRPr="006301DF" w:rsidRDefault="00781733" w:rsidP="005B3E1F">
            <w:pPr>
              <w:suppressAutoHyphens w:val="0"/>
              <w:spacing w:after="0"/>
              <w:jc w:val="center"/>
              <w:rPr>
                <w:rFonts w:eastAsia="Calibri" w:cs="Times New Roman"/>
                <w:b/>
                <w:bCs/>
                <w:szCs w:val="22"/>
                <w:lang w:val="el-GR" w:eastAsia="en-US"/>
              </w:rPr>
            </w:pPr>
            <w:r>
              <w:rPr>
                <w:rFonts w:eastAsia="Calibri" w:cs="Times New Roman"/>
                <w:b/>
                <w:bCs/>
                <w:szCs w:val="22"/>
                <w:lang w:val="el-GR" w:eastAsia="en-US"/>
              </w:rPr>
              <w:t>ΟΧΙ</w:t>
            </w:r>
          </w:p>
        </w:tc>
        <w:tc>
          <w:tcPr>
            <w:tcW w:w="990" w:type="pct"/>
          </w:tcPr>
          <w:p w:rsidR="00781733" w:rsidRPr="006301DF" w:rsidRDefault="00781733" w:rsidP="005B3E1F">
            <w:pPr>
              <w:suppressAutoHyphens w:val="0"/>
              <w:spacing w:after="0"/>
              <w:jc w:val="center"/>
              <w:rPr>
                <w:rFonts w:eastAsia="Calibri" w:cs="Times New Roman"/>
                <w:b/>
                <w:bCs/>
                <w:szCs w:val="22"/>
                <w:lang w:val="el-GR" w:eastAsia="en-US"/>
              </w:rPr>
            </w:pPr>
            <w:r>
              <w:rPr>
                <w:rFonts w:eastAsia="Calibri" w:cs="Times New Roman"/>
                <w:b/>
                <w:bCs/>
                <w:szCs w:val="22"/>
                <w:lang w:val="el-GR" w:eastAsia="en-US"/>
              </w:rPr>
              <w:t>ΠΑΡΑΠΟΜΠΗ</w:t>
            </w:r>
          </w:p>
        </w:tc>
      </w:tr>
      <w:tr w:rsidR="00781733" w:rsidRPr="006D1B24" w:rsidTr="005B3E1F">
        <w:trPr>
          <w:trHeight w:val="3692"/>
        </w:trPr>
        <w:tc>
          <w:tcPr>
            <w:tcW w:w="293" w:type="pct"/>
            <w:shd w:val="clear" w:color="auto" w:fill="auto"/>
            <w:noWrap/>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t>1</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Φιάλη καλλιέργειας κυττάρων με φύλλο σφράγισης. Να είναι επιφάνειας 300 cm</w:t>
            </w:r>
            <w:r w:rsidRPr="0026134B">
              <w:rPr>
                <w:rFonts w:eastAsia="Calibri" w:cs="Times New Roman"/>
                <w:szCs w:val="22"/>
                <w:vertAlign w:val="superscript"/>
                <w:lang w:val="el-GR" w:eastAsia="en-US"/>
              </w:rPr>
              <w:t>2</w:t>
            </w:r>
            <w:r w:rsidRPr="0026134B">
              <w:rPr>
                <w:rFonts w:eastAsia="Calibri" w:cs="Times New Roman"/>
                <w:szCs w:val="22"/>
                <w:lang w:val="el-GR" w:eastAsia="en-US"/>
              </w:rPr>
              <w:t>, με μεγάλο ενσωματωμένο πτερύγιο για σταθερό κράτημα. Το φύλλο σφράγισης να είναι ισχυρά συγκολλημένο και να αποτελείται από πολυστρωματικό αλουμινόχαρτο. Να κλείνει με αεριζόμενο καπάκι. Να έχουν δακτύλιο στοίβαξης ώστε να προσφέρεται σταθερή και χωρίς ολίσθηση απόθεση πολλών φλασκών. Να είναι κατασκευασμένη από πολυστυρένιο και να έχει διαστάσεις 270</w:t>
            </w:r>
            <w:r w:rsidRPr="0026134B">
              <w:rPr>
                <w:rFonts w:eastAsia="Calibri" w:cs="Times New Roman"/>
                <w:szCs w:val="22"/>
                <w:lang w:val="en-US" w:eastAsia="en-US"/>
              </w:rPr>
              <w:t>x</w:t>
            </w:r>
            <w:r w:rsidRPr="0026134B">
              <w:rPr>
                <w:rFonts w:eastAsia="Calibri" w:cs="Times New Roman"/>
                <w:szCs w:val="22"/>
                <w:lang w:val="el-GR" w:eastAsia="en-US"/>
              </w:rPr>
              <w:t>170</w:t>
            </w:r>
            <w:r w:rsidRPr="0026134B">
              <w:rPr>
                <w:rFonts w:eastAsia="Calibri" w:cs="Times New Roman"/>
                <w:szCs w:val="22"/>
                <w:lang w:val="en-US" w:eastAsia="en-US"/>
              </w:rPr>
              <w:t>x</w:t>
            </w:r>
            <w:r w:rsidRPr="0026134B">
              <w:rPr>
                <w:rFonts w:eastAsia="Calibri" w:cs="Times New Roman"/>
                <w:szCs w:val="22"/>
                <w:lang w:val="el-GR" w:eastAsia="en-US"/>
              </w:rPr>
              <w:t xml:space="preserve">55 </w:t>
            </w:r>
            <w:r w:rsidRPr="0026134B">
              <w:rPr>
                <w:rFonts w:eastAsia="Calibri" w:cs="Times New Roman"/>
                <w:szCs w:val="22"/>
                <w:lang w:val="en-US" w:eastAsia="en-US"/>
              </w:rPr>
              <w:t>mm</w:t>
            </w:r>
            <w:r w:rsidRPr="0026134B">
              <w:rPr>
                <w:rFonts w:eastAsia="Calibri" w:cs="Times New Roman"/>
                <w:szCs w:val="22"/>
                <w:lang w:val="el-GR" w:eastAsia="en-US"/>
              </w:rPr>
              <w:t xml:space="preserve">. Να μπορεί να δεχθεί μέχρι υλικό όγκου 200 </w:t>
            </w:r>
            <w:r w:rsidRPr="0026134B">
              <w:rPr>
                <w:rFonts w:eastAsia="Calibri" w:cs="Times New Roman"/>
                <w:szCs w:val="22"/>
                <w:lang w:val="en-US" w:eastAsia="en-US"/>
              </w:rPr>
              <w:t>ml</w:t>
            </w:r>
            <w:r w:rsidRPr="0026134B">
              <w:rPr>
                <w:rFonts w:eastAsia="Calibri" w:cs="Times New Roman"/>
                <w:szCs w:val="22"/>
                <w:lang w:val="el-GR" w:eastAsia="en-US"/>
              </w:rPr>
              <w:t xml:space="preserve"> και να έχει στόμιο διαστάσεων 140</w:t>
            </w:r>
            <w:r w:rsidRPr="0026134B">
              <w:rPr>
                <w:rFonts w:eastAsia="Calibri" w:cs="Times New Roman"/>
                <w:szCs w:val="22"/>
                <w:lang w:val="en-US" w:eastAsia="en-US"/>
              </w:rPr>
              <w:t>x</w:t>
            </w:r>
            <w:r w:rsidRPr="0026134B">
              <w:rPr>
                <w:rFonts w:eastAsia="Calibri" w:cs="Times New Roman"/>
                <w:szCs w:val="22"/>
                <w:lang w:val="el-GR" w:eastAsia="en-US"/>
              </w:rPr>
              <w:t xml:space="preserve">185 </w:t>
            </w:r>
            <w:r w:rsidRPr="0026134B">
              <w:rPr>
                <w:rFonts w:eastAsia="Calibri" w:cs="Times New Roman"/>
                <w:szCs w:val="22"/>
                <w:lang w:val="en-US" w:eastAsia="en-US"/>
              </w:rPr>
              <w:t>mm</w:t>
            </w:r>
            <w:r w:rsidRPr="0026134B">
              <w:rPr>
                <w:rFonts w:eastAsia="Calibri" w:cs="Times New Roman"/>
                <w:szCs w:val="22"/>
                <w:lang w:val="el-GR" w:eastAsia="en-US"/>
              </w:rPr>
              <w:t xml:space="preserve">. </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r w:rsidR="00781733" w:rsidRPr="0026134B" w:rsidTr="005B3E1F">
        <w:trPr>
          <w:trHeight w:val="3965"/>
        </w:trPr>
        <w:tc>
          <w:tcPr>
            <w:tcW w:w="293" w:type="pct"/>
            <w:shd w:val="clear" w:color="auto" w:fill="auto"/>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t>2</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 xml:space="preserve">Δοχείο καλλιεργειών επίπεδου τοιχώματος επιφάνειας 10 </w:t>
            </w:r>
            <w:r w:rsidRPr="0026134B">
              <w:rPr>
                <w:rFonts w:eastAsia="Calibri" w:cs="Times New Roman"/>
                <w:szCs w:val="22"/>
                <w:lang w:val="en-US" w:eastAsia="en-US"/>
              </w:rPr>
              <w:t>cm</w:t>
            </w:r>
            <w:r w:rsidRPr="0026134B">
              <w:rPr>
                <w:rFonts w:eastAsia="Calibri" w:cs="Times New Roman"/>
                <w:szCs w:val="22"/>
                <w:lang w:val="el-GR" w:eastAsia="en-US"/>
              </w:rPr>
              <w:t xml:space="preserve">², κωνική στο κάτω μέρος με καπάκι που περιλαμβάνει φίλτρο αερισμού. Το καπάκι να είναι πολυγωνικό για να αποφεύγεται η κύλιση. Να είναι από πολυστυρένιο και να είναι πολυλειτουργικές, κατάλληλες για καλλιέργεια, επώαση, εξέταση υπό μικροσκοπίου, φυγοκέντρηση. Το κωνικό σχήμα είναι απαραίτητο ώστε να διευκολύνεται η αφαίρεση κυτταρικού ιζήματος. Να έχει ενεργοποιημένη επιφάνεια 10 </w:t>
            </w:r>
            <w:r w:rsidRPr="0026134B">
              <w:rPr>
                <w:rFonts w:eastAsia="Calibri" w:cs="Times New Roman"/>
                <w:szCs w:val="22"/>
                <w:lang w:val="en-US" w:eastAsia="en-US"/>
              </w:rPr>
              <w:t>cm</w:t>
            </w:r>
            <w:r w:rsidRPr="0026134B">
              <w:rPr>
                <w:rFonts w:eastAsia="Calibri" w:cs="Times New Roman"/>
                <w:szCs w:val="22"/>
                <w:lang w:val="el-GR" w:eastAsia="en-US"/>
              </w:rPr>
              <w:t xml:space="preserve">2 και η απέναντι επιφάνεια να είναι απόλυτα διαυγής και διαφανής. Να μπορεί να λάβει όγκους υλικού 3-10 </w:t>
            </w:r>
            <w:r w:rsidRPr="0026134B">
              <w:rPr>
                <w:rFonts w:eastAsia="Calibri" w:cs="Times New Roman"/>
                <w:szCs w:val="22"/>
                <w:lang w:val="en-US" w:eastAsia="en-US"/>
              </w:rPr>
              <w:t>ml</w:t>
            </w:r>
            <w:r w:rsidRPr="0026134B">
              <w:rPr>
                <w:rFonts w:eastAsia="Calibri" w:cs="Times New Roman"/>
                <w:szCs w:val="22"/>
                <w:lang w:val="el-GR" w:eastAsia="en-US"/>
              </w:rPr>
              <w:t>. Να έχει διαστάσεις 30</w:t>
            </w:r>
            <w:r w:rsidRPr="0026134B">
              <w:rPr>
                <w:rFonts w:eastAsia="Calibri" w:cs="Times New Roman"/>
                <w:szCs w:val="22"/>
                <w:lang w:val="en-US" w:eastAsia="en-US"/>
              </w:rPr>
              <w:t>x</w:t>
            </w:r>
            <w:r w:rsidRPr="0026134B">
              <w:rPr>
                <w:rFonts w:eastAsia="Calibri" w:cs="Times New Roman"/>
                <w:szCs w:val="22"/>
                <w:lang w:val="el-GR" w:eastAsia="en-US"/>
              </w:rPr>
              <w:t xml:space="preserve">105 </w:t>
            </w:r>
            <w:r w:rsidRPr="0026134B">
              <w:rPr>
                <w:rFonts w:eastAsia="Calibri" w:cs="Times New Roman"/>
                <w:szCs w:val="22"/>
                <w:lang w:val="en-US" w:eastAsia="en-US"/>
              </w:rPr>
              <w:t>mm</w:t>
            </w:r>
            <w:r w:rsidRPr="0026134B">
              <w:rPr>
                <w:rFonts w:eastAsia="Calibri" w:cs="Times New Roman"/>
                <w:szCs w:val="22"/>
                <w:lang w:val="el-GR" w:eastAsia="en-US"/>
              </w:rPr>
              <w:t xml:space="preserve">. Να έχει μεγάλο στόμιο ώστε να επιτρέπεται πλήρης πρόσβαση σε πιπέττες και εργαστηριακούς στυλεούς απόξεσης επιφάνειας. Να επιτρέπεται η απρόσκοπτη οπτική εξέταση σε ανάστροφο </w:t>
            </w:r>
            <w:r w:rsidRPr="0026134B">
              <w:rPr>
                <w:rFonts w:eastAsia="Calibri" w:cs="Times New Roman"/>
                <w:szCs w:val="22"/>
                <w:lang w:val="el-GR" w:eastAsia="en-US"/>
              </w:rPr>
              <w:lastRenderedPageBreak/>
              <w:t xml:space="preserve">μικροσκόπιο. Να έχει μειωμένη διάθλαση του φωτός. Να είναι φυγοκεντρήσιμο σε </w:t>
            </w:r>
            <w:r w:rsidRPr="0026134B">
              <w:rPr>
                <w:rFonts w:eastAsia="Calibri" w:cs="Times New Roman"/>
                <w:szCs w:val="22"/>
                <w:lang w:val="en-US" w:eastAsia="en-US"/>
              </w:rPr>
              <w:t>adaptor</w:t>
            </w:r>
            <w:r w:rsidRPr="0026134B">
              <w:rPr>
                <w:rFonts w:eastAsia="Calibri" w:cs="Times New Roman"/>
                <w:szCs w:val="22"/>
                <w:lang w:val="el-GR" w:eastAsia="en-US"/>
              </w:rPr>
              <w:t xml:space="preserve"> 50 </w:t>
            </w:r>
            <w:r w:rsidRPr="0026134B">
              <w:rPr>
                <w:rFonts w:eastAsia="Calibri" w:cs="Times New Roman"/>
                <w:szCs w:val="22"/>
                <w:lang w:val="en-US" w:eastAsia="en-US"/>
              </w:rPr>
              <w:t>ml</w:t>
            </w:r>
            <w:r w:rsidRPr="0026134B">
              <w:rPr>
                <w:rFonts w:eastAsia="Calibri" w:cs="Times New Roman"/>
                <w:szCs w:val="22"/>
                <w:lang w:val="el-GR" w:eastAsia="en-US"/>
              </w:rPr>
              <w:t xml:space="preserve"> στα 1200 </w:t>
            </w:r>
            <w:r w:rsidRPr="0026134B">
              <w:rPr>
                <w:rFonts w:eastAsia="Calibri" w:cs="Times New Roman"/>
                <w:szCs w:val="22"/>
                <w:lang w:val="en-US" w:eastAsia="en-US"/>
              </w:rPr>
              <w:t>g</w:t>
            </w:r>
            <w:r w:rsidRPr="0026134B">
              <w:rPr>
                <w:rFonts w:eastAsia="Calibri" w:cs="Times New Roman"/>
                <w:szCs w:val="22"/>
                <w:lang w:val="el-GR" w:eastAsia="en-US"/>
              </w:rPr>
              <w:t>.</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r w:rsidR="00781733" w:rsidRPr="0026134B" w:rsidTr="005B3E1F">
        <w:trPr>
          <w:trHeight w:val="4161"/>
        </w:trPr>
        <w:tc>
          <w:tcPr>
            <w:tcW w:w="293" w:type="pct"/>
            <w:shd w:val="clear" w:color="auto" w:fill="auto"/>
            <w:noWrap/>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lastRenderedPageBreak/>
              <w:t>3</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 xml:space="preserve">Δοχεία πλαστικά </w:t>
            </w:r>
            <w:r w:rsidRPr="0026134B">
              <w:rPr>
                <w:rFonts w:eastAsia="Calibri" w:cs="Times New Roman"/>
                <w:szCs w:val="22"/>
                <w:lang w:val="en-US" w:eastAsia="en-US"/>
              </w:rPr>
              <w:t>TubeSpin</w:t>
            </w:r>
            <w:r w:rsidRPr="0026134B">
              <w:rPr>
                <w:rFonts w:eastAsia="Calibri" w:cs="Times New Roman"/>
                <w:szCs w:val="22"/>
                <w:lang w:val="el-GR" w:eastAsia="en-US"/>
              </w:rPr>
              <w:t xml:space="preserve"> </w:t>
            </w:r>
            <w:r w:rsidRPr="0026134B">
              <w:rPr>
                <w:rFonts w:eastAsia="Calibri" w:cs="Times New Roman"/>
                <w:szCs w:val="22"/>
                <w:lang w:val="en-US" w:eastAsia="en-US"/>
              </w:rPr>
              <w:t>Bioreactor</w:t>
            </w:r>
            <w:r w:rsidRPr="0026134B">
              <w:rPr>
                <w:rFonts w:eastAsia="Calibri" w:cs="Times New Roman"/>
                <w:szCs w:val="22"/>
                <w:lang w:val="el-GR" w:eastAsia="en-US"/>
              </w:rPr>
              <w:t xml:space="preserve"> 450. Να έχουν διάμετρο 96 </w:t>
            </w:r>
            <w:r w:rsidRPr="0026134B">
              <w:rPr>
                <w:rFonts w:eastAsia="Calibri" w:cs="Times New Roman"/>
                <w:szCs w:val="22"/>
                <w:lang w:val="en-US" w:eastAsia="en-US"/>
              </w:rPr>
              <w:t>mm</w:t>
            </w:r>
            <w:r w:rsidRPr="0026134B">
              <w:rPr>
                <w:rFonts w:eastAsia="Calibri" w:cs="Times New Roman"/>
                <w:szCs w:val="22"/>
                <w:lang w:val="el-GR" w:eastAsia="en-US"/>
              </w:rPr>
              <w:t xml:space="preserve">, ύψος 145 </w:t>
            </w:r>
            <w:r w:rsidRPr="0026134B">
              <w:rPr>
                <w:rFonts w:eastAsia="Calibri" w:cs="Times New Roman"/>
                <w:szCs w:val="22"/>
                <w:lang w:val="en-US" w:eastAsia="en-US"/>
              </w:rPr>
              <w:t>mm</w:t>
            </w:r>
            <w:r w:rsidRPr="0026134B">
              <w:rPr>
                <w:rFonts w:eastAsia="Calibri" w:cs="Times New Roman"/>
                <w:szCs w:val="22"/>
                <w:lang w:val="el-GR" w:eastAsia="en-US"/>
              </w:rPr>
              <w:t xml:space="preserve">, κωνικής βάσης, από πολυπροπυλένιο. Να έχουν εύρος όγκου εργασίας 1 - 300 </w:t>
            </w:r>
            <w:r w:rsidRPr="0026134B">
              <w:rPr>
                <w:rFonts w:eastAsia="Calibri" w:cs="Times New Roman"/>
                <w:szCs w:val="22"/>
                <w:lang w:val="en-US" w:eastAsia="en-US"/>
              </w:rPr>
              <w:t>ml</w:t>
            </w:r>
            <w:r w:rsidRPr="0026134B">
              <w:rPr>
                <w:rFonts w:eastAsia="Calibri" w:cs="Times New Roman"/>
                <w:szCs w:val="22"/>
                <w:lang w:val="el-GR" w:eastAsia="en-US"/>
              </w:rPr>
              <w:t xml:space="preserve">, αποστειρωμένα, με ενσωματωμένο φίλτρο μεμβράνης </w:t>
            </w:r>
            <w:r w:rsidRPr="0026134B">
              <w:rPr>
                <w:rFonts w:eastAsia="Calibri" w:cs="Times New Roman"/>
                <w:szCs w:val="22"/>
                <w:lang w:val="en-US" w:eastAsia="en-US"/>
              </w:rPr>
              <w:t>PTFE</w:t>
            </w:r>
            <w:r w:rsidRPr="0026134B">
              <w:rPr>
                <w:rFonts w:eastAsia="Calibri" w:cs="Times New Roman"/>
                <w:szCs w:val="22"/>
                <w:lang w:val="el-GR" w:eastAsia="en-US"/>
              </w:rPr>
              <w:t xml:space="preserve"> 0.22 µ</w:t>
            </w:r>
            <w:r w:rsidRPr="0026134B">
              <w:rPr>
                <w:rFonts w:eastAsia="Calibri" w:cs="Times New Roman"/>
                <w:szCs w:val="22"/>
                <w:lang w:val="en-US" w:eastAsia="en-US"/>
              </w:rPr>
              <w:t>m</w:t>
            </w:r>
            <w:r w:rsidRPr="0026134B">
              <w:rPr>
                <w:rFonts w:eastAsia="Calibri" w:cs="Times New Roman"/>
                <w:szCs w:val="22"/>
                <w:lang w:val="el-GR" w:eastAsia="en-US"/>
              </w:rPr>
              <w:t xml:space="preserve"> σε βιδωτό καπάκι. Το καπάκι να έχει 10 οπές αερισμού μεγέθους 4.0 </w:t>
            </w:r>
            <w:r w:rsidRPr="0026134B">
              <w:rPr>
                <w:rFonts w:eastAsia="Calibri" w:cs="Times New Roman"/>
                <w:szCs w:val="22"/>
                <w:lang w:val="en-US" w:eastAsia="en-US"/>
              </w:rPr>
              <w:t>mm</w:t>
            </w:r>
            <w:r w:rsidRPr="0026134B">
              <w:rPr>
                <w:rFonts w:eastAsia="Calibri" w:cs="Times New Roman"/>
                <w:szCs w:val="22"/>
                <w:lang w:val="el-GR" w:eastAsia="en-US"/>
              </w:rPr>
              <w:t>. Να επιτρέπεται η κάλυψη των οπών ώστε να περιορίζεται η εξάτμιση. Τα δοχεία πρέπει να μπορούν να χρησιμοποιηθούν για φυγοκέντρηση μέχρι και 3500</w:t>
            </w:r>
            <w:r w:rsidRPr="0026134B">
              <w:rPr>
                <w:rFonts w:eastAsia="Calibri" w:cs="Times New Roman"/>
                <w:szCs w:val="22"/>
                <w:lang w:val="en-US" w:eastAsia="en-US"/>
              </w:rPr>
              <w:t>xg</w:t>
            </w:r>
            <w:r w:rsidRPr="0026134B">
              <w:rPr>
                <w:rFonts w:eastAsia="Calibri" w:cs="Times New Roman"/>
                <w:szCs w:val="22"/>
                <w:lang w:val="el-GR" w:eastAsia="en-US"/>
              </w:rPr>
              <w:t xml:space="preserve">. Να είναι κατασκευασμένα από εξαιρετικής ποιότητας πολυπροπυλένιο χωρίς πρόσθετα και πλαστικοποιητές. Να είναι ελεύθερα </w:t>
            </w:r>
            <w:r w:rsidRPr="0026134B">
              <w:rPr>
                <w:rFonts w:eastAsia="Calibri" w:cs="Times New Roman"/>
                <w:szCs w:val="22"/>
                <w:lang w:val="en-US" w:eastAsia="en-US"/>
              </w:rPr>
              <w:t>RNA</w:t>
            </w:r>
            <w:r w:rsidRPr="0026134B">
              <w:rPr>
                <w:rFonts w:eastAsia="Calibri" w:cs="Times New Roman"/>
                <w:szCs w:val="22"/>
                <w:lang w:val="el-GR" w:eastAsia="en-US"/>
              </w:rPr>
              <w:t xml:space="preserve"> / </w:t>
            </w:r>
            <w:r w:rsidRPr="0026134B">
              <w:rPr>
                <w:rFonts w:eastAsia="Calibri" w:cs="Times New Roman"/>
                <w:szCs w:val="22"/>
                <w:lang w:val="en-US" w:eastAsia="en-US"/>
              </w:rPr>
              <w:t>DNA</w:t>
            </w:r>
            <w:r w:rsidRPr="0026134B">
              <w:rPr>
                <w:rFonts w:eastAsia="Calibri" w:cs="Times New Roman"/>
                <w:szCs w:val="22"/>
                <w:lang w:val="el-GR" w:eastAsia="en-US"/>
              </w:rPr>
              <w:t xml:space="preserve">, </w:t>
            </w:r>
            <w:r w:rsidRPr="0026134B">
              <w:rPr>
                <w:rFonts w:eastAsia="Calibri" w:cs="Times New Roman"/>
                <w:szCs w:val="22"/>
                <w:lang w:val="en-US" w:eastAsia="en-US"/>
              </w:rPr>
              <w:t>RNase</w:t>
            </w:r>
            <w:r w:rsidRPr="0026134B">
              <w:rPr>
                <w:rFonts w:eastAsia="Calibri" w:cs="Times New Roman"/>
                <w:szCs w:val="22"/>
                <w:lang w:val="el-GR" w:eastAsia="en-US"/>
              </w:rPr>
              <w:t xml:space="preserve"> / </w:t>
            </w:r>
            <w:r w:rsidRPr="0026134B">
              <w:rPr>
                <w:rFonts w:eastAsia="Calibri" w:cs="Times New Roman"/>
                <w:szCs w:val="22"/>
                <w:lang w:val="en-US" w:eastAsia="en-US"/>
              </w:rPr>
              <w:t>DNase</w:t>
            </w:r>
            <w:r w:rsidRPr="0026134B">
              <w:rPr>
                <w:rFonts w:eastAsia="Calibri" w:cs="Times New Roman"/>
                <w:szCs w:val="22"/>
                <w:lang w:val="el-GR" w:eastAsia="en-US"/>
              </w:rPr>
              <w:t xml:space="preserve">, πυρογενών και ενδοτοξινών. Να είναι συσκευασμένα ανά 1. </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r w:rsidR="00781733" w:rsidRPr="006D1B24" w:rsidTr="005B3E1F">
        <w:trPr>
          <w:trHeight w:val="1981"/>
        </w:trPr>
        <w:tc>
          <w:tcPr>
            <w:tcW w:w="293" w:type="pct"/>
            <w:shd w:val="clear" w:color="auto" w:fill="auto"/>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t>4</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Βάση (</w:t>
            </w:r>
            <w:r w:rsidRPr="0026134B">
              <w:rPr>
                <w:rFonts w:eastAsia="Calibri" w:cs="Times New Roman"/>
                <w:szCs w:val="22"/>
                <w:lang w:val="en-US" w:eastAsia="en-US"/>
              </w:rPr>
              <w:t>rack</w:t>
            </w:r>
            <w:r w:rsidRPr="0026134B">
              <w:rPr>
                <w:rFonts w:eastAsia="Calibri" w:cs="Times New Roman"/>
                <w:szCs w:val="22"/>
                <w:lang w:val="el-GR" w:eastAsia="en-US"/>
              </w:rPr>
              <w:t>) για 3 πλαστικά δοχεία με τις διαστάσεις και τεχνικές προδιαγραφές του προϊόντος 3 του παρόντος πίνακα. Να έχει διαστάσεις 366</w:t>
            </w:r>
            <w:r w:rsidRPr="0026134B">
              <w:rPr>
                <w:rFonts w:eastAsia="Calibri" w:cs="Times New Roman"/>
                <w:szCs w:val="22"/>
                <w:lang w:val="en-US" w:eastAsia="en-US"/>
              </w:rPr>
              <w:t>x</w:t>
            </w:r>
            <w:r w:rsidRPr="0026134B">
              <w:rPr>
                <w:rFonts w:eastAsia="Calibri" w:cs="Times New Roman"/>
                <w:szCs w:val="22"/>
                <w:lang w:val="el-GR" w:eastAsia="en-US"/>
              </w:rPr>
              <w:t>146</w:t>
            </w:r>
            <w:r w:rsidRPr="0026134B">
              <w:rPr>
                <w:rFonts w:eastAsia="Calibri" w:cs="Times New Roman"/>
                <w:szCs w:val="22"/>
                <w:lang w:val="en-US" w:eastAsia="en-US"/>
              </w:rPr>
              <w:t>x</w:t>
            </w:r>
            <w:r w:rsidRPr="0026134B">
              <w:rPr>
                <w:rFonts w:eastAsia="Calibri" w:cs="Times New Roman"/>
                <w:szCs w:val="22"/>
                <w:lang w:val="el-GR" w:eastAsia="en-US"/>
              </w:rPr>
              <w:t xml:space="preserve">70 </w:t>
            </w:r>
            <w:r w:rsidRPr="0026134B">
              <w:rPr>
                <w:rFonts w:eastAsia="Calibri" w:cs="Times New Roman"/>
                <w:szCs w:val="22"/>
                <w:lang w:val="en-US" w:eastAsia="en-US"/>
              </w:rPr>
              <w:t>mm</w:t>
            </w:r>
            <w:r w:rsidRPr="0026134B">
              <w:rPr>
                <w:rFonts w:eastAsia="Calibri" w:cs="Times New Roman"/>
                <w:szCs w:val="22"/>
                <w:lang w:val="el-GR" w:eastAsia="en-US"/>
              </w:rPr>
              <w:t xml:space="preserve"> και να είναι από πολυπροπυλένιο. Να έχουν σηματοδότηση για ανίχνευση δειγμάτων. Να είναι ανθεκτικά στη θέρμανση και να είναι αποστειρώσιμα. </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r w:rsidR="00781733" w:rsidRPr="0026134B" w:rsidTr="005B3E1F">
        <w:trPr>
          <w:trHeight w:val="1683"/>
        </w:trPr>
        <w:tc>
          <w:tcPr>
            <w:tcW w:w="293" w:type="pct"/>
            <w:shd w:val="clear" w:color="auto" w:fill="auto"/>
            <w:noWrap/>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t>5</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 xml:space="preserve">Δοχείο </w:t>
            </w:r>
            <w:r w:rsidRPr="0026134B">
              <w:rPr>
                <w:rFonts w:eastAsia="Calibri" w:cs="Times New Roman"/>
                <w:szCs w:val="22"/>
                <w:lang w:val="en-US" w:eastAsia="en-US"/>
              </w:rPr>
              <w:t>packed</w:t>
            </w:r>
            <w:r w:rsidRPr="0026134B">
              <w:rPr>
                <w:rFonts w:eastAsia="Calibri" w:cs="Times New Roman"/>
                <w:szCs w:val="22"/>
                <w:lang w:val="el-GR" w:eastAsia="en-US"/>
              </w:rPr>
              <w:t xml:space="preserve"> </w:t>
            </w:r>
            <w:r w:rsidRPr="0026134B">
              <w:rPr>
                <w:rFonts w:eastAsia="Calibri" w:cs="Times New Roman"/>
                <w:szCs w:val="22"/>
                <w:lang w:val="en-US" w:eastAsia="en-US"/>
              </w:rPr>
              <w:t>cell</w:t>
            </w:r>
            <w:r w:rsidRPr="0026134B">
              <w:rPr>
                <w:rFonts w:eastAsia="Calibri" w:cs="Times New Roman"/>
                <w:szCs w:val="22"/>
                <w:lang w:val="el-GR" w:eastAsia="en-US"/>
              </w:rPr>
              <w:t xml:space="preserve"> </w:t>
            </w:r>
            <w:r w:rsidRPr="0026134B">
              <w:rPr>
                <w:rFonts w:eastAsia="Calibri" w:cs="Times New Roman"/>
                <w:szCs w:val="22"/>
                <w:lang w:val="en-US" w:eastAsia="en-US"/>
              </w:rPr>
              <w:t>volume</w:t>
            </w:r>
            <w:r w:rsidRPr="0026134B">
              <w:rPr>
                <w:rFonts w:eastAsia="Calibri" w:cs="Times New Roman"/>
                <w:szCs w:val="22"/>
                <w:lang w:val="el-GR" w:eastAsia="en-US"/>
              </w:rPr>
              <w:t xml:space="preserve"> που επιτρέπει ταχεία και επαναλήψιμη μέτρηση όγκου (και αριθμού) κυττάρων. Να περιλαμβάνει βαθμονομημένο τριχοειδές με διαβάθμιση όγκου. Να προσαρμόζεται σε μικροφυγοκέντρους. Να μπορεί να σφραγίζεται με καπάκι. </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r w:rsidR="00781733" w:rsidRPr="0026134B" w:rsidTr="005B3E1F">
        <w:trPr>
          <w:trHeight w:val="2983"/>
        </w:trPr>
        <w:tc>
          <w:tcPr>
            <w:tcW w:w="293" w:type="pct"/>
            <w:shd w:val="clear" w:color="auto" w:fill="auto"/>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lastRenderedPageBreak/>
              <w:t>6</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 xml:space="preserve">Φίλτρα ταχύτατης διήθησης υπό κενό. Να υπάρχει μεγάλη τετράγωνου σχήματος επιφάνεια φιλτραρίσματος 49 </w:t>
            </w:r>
            <w:r w:rsidRPr="0026134B">
              <w:rPr>
                <w:rFonts w:eastAsia="Calibri" w:cs="Times New Roman"/>
                <w:szCs w:val="22"/>
                <w:lang w:val="en-US" w:eastAsia="en-US"/>
              </w:rPr>
              <w:t>cm</w:t>
            </w:r>
            <w:r w:rsidRPr="0026134B">
              <w:rPr>
                <w:rFonts w:eastAsia="Calibri" w:cs="Times New Roman"/>
                <w:szCs w:val="22"/>
                <w:vertAlign w:val="superscript"/>
                <w:lang w:val="el-GR" w:eastAsia="en-US"/>
              </w:rPr>
              <w:t>2</w:t>
            </w:r>
            <w:r w:rsidRPr="0026134B">
              <w:rPr>
                <w:rFonts w:eastAsia="Calibri" w:cs="Times New Roman"/>
                <w:szCs w:val="22"/>
                <w:lang w:val="el-GR" w:eastAsia="en-US"/>
              </w:rPr>
              <w:t xml:space="preserve">, με μεμβράνη υψηλής απόδοσης από </w:t>
            </w:r>
            <w:r w:rsidRPr="0026134B">
              <w:rPr>
                <w:rFonts w:eastAsia="Calibri" w:cs="Times New Roman"/>
                <w:szCs w:val="22"/>
                <w:lang w:val="en-US" w:eastAsia="en-US"/>
              </w:rPr>
              <w:t>PES</w:t>
            </w:r>
            <w:r w:rsidRPr="0026134B">
              <w:rPr>
                <w:rFonts w:eastAsia="Calibri" w:cs="Times New Roman"/>
                <w:szCs w:val="22"/>
                <w:lang w:val="el-GR" w:eastAsia="en-US"/>
              </w:rPr>
              <w:t>, μεγέθους πόρων 0.22 µ</w:t>
            </w:r>
            <w:r w:rsidRPr="0026134B">
              <w:rPr>
                <w:rFonts w:eastAsia="Calibri" w:cs="Times New Roman"/>
                <w:szCs w:val="22"/>
                <w:lang w:val="en-US" w:eastAsia="en-US"/>
              </w:rPr>
              <w:t>m</w:t>
            </w:r>
            <w:r w:rsidRPr="0026134B">
              <w:rPr>
                <w:rFonts w:eastAsia="Calibri" w:cs="Times New Roman"/>
                <w:szCs w:val="22"/>
                <w:lang w:val="el-GR" w:eastAsia="en-US"/>
              </w:rPr>
              <w:t xml:space="preserve"> και χαμηλής πρόσδεσης πρωτεϊνών. Να έχει μεμβράνη συμβατή με πλήθος χημικών. Να συνοδεύεται από προσαρμογέα για το στόμιο που εφαρμόζεται το κενό και από βιδωτό καπάκι για κάθε δοχείο που συλλέγεται το υπερκείμενο. </w:t>
            </w:r>
          </w:p>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Να έχει διαστάσεις 93</w:t>
            </w:r>
            <w:r w:rsidRPr="0026134B">
              <w:rPr>
                <w:rFonts w:eastAsia="Calibri" w:cs="Times New Roman"/>
                <w:szCs w:val="22"/>
                <w:lang w:val="en-US" w:eastAsia="en-US"/>
              </w:rPr>
              <w:t>x</w:t>
            </w:r>
            <w:r w:rsidRPr="0026134B">
              <w:rPr>
                <w:rFonts w:eastAsia="Calibri" w:cs="Times New Roman"/>
                <w:szCs w:val="22"/>
                <w:lang w:val="el-GR" w:eastAsia="en-US"/>
              </w:rPr>
              <w:t>93</w:t>
            </w:r>
            <w:r w:rsidRPr="0026134B">
              <w:rPr>
                <w:rFonts w:eastAsia="Calibri" w:cs="Times New Roman"/>
                <w:szCs w:val="22"/>
                <w:lang w:val="en-US" w:eastAsia="en-US"/>
              </w:rPr>
              <w:t>x</w:t>
            </w:r>
            <w:r w:rsidRPr="0026134B">
              <w:rPr>
                <w:rFonts w:eastAsia="Calibri" w:cs="Times New Roman"/>
                <w:szCs w:val="22"/>
                <w:lang w:val="el-GR" w:eastAsia="en-US"/>
              </w:rPr>
              <w:t xml:space="preserve">213 </w:t>
            </w:r>
            <w:r w:rsidRPr="0026134B">
              <w:rPr>
                <w:rFonts w:eastAsia="Calibri" w:cs="Times New Roman"/>
                <w:szCs w:val="22"/>
                <w:lang w:val="en-US" w:eastAsia="en-US"/>
              </w:rPr>
              <w:t>mm</w:t>
            </w:r>
            <w:r w:rsidRPr="0026134B">
              <w:rPr>
                <w:rFonts w:eastAsia="Calibri" w:cs="Times New Roman"/>
                <w:szCs w:val="22"/>
                <w:lang w:val="el-GR" w:eastAsia="en-US"/>
              </w:rPr>
              <w:t xml:space="preserve">. </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r w:rsidR="00781733" w:rsidRPr="0026134B" w:rsidTr="005B3E1F">
        <w:trPr>
          <w:trHeight w:val="900"/>
        </w:trPr>
        <w:tc>
          <w:tcPr>
            <w:tcW w:w="293" w:type="pct"/>
            <w:shd w:val="clear" w:color="auto" w:fill="auto"/>
            <w:noWrap/>
            <w:hideMark/>
          </w:tcPr>
          <w:p w:rsidR="00781733" w:rsidRPr="0026134B" w:rsidRDefault="00781733" w:rsidP="005B3E1F">
            <w:pPr>
              <w:suppressAutoHyphens w:val="0"/>
              <w:spacing w:after="0"/>
              <w:jc w:val="left"/>
              <w:rPr>
                <w:rFonts w:eastAsia="Calibri" w:cs="Times New Roman"/>
                <w:szCs w:val="22"/>
                <w:lang w:val="en-US" w:eastAsia="en-US"/>
              </w:rPr>
            </w:pPr>
            <w:r w:rsidRPr="0026134B">
              <w:rPr>
                <w:rFonts w:eastAsia="Calibri" w:cs="Times New Roman"/>
                <w:szCs w:val="22"/>
                <w:lang w:val="en-US" w:eastAsia="en-US"/>
              </w:rPr>
              <w:t>7</w:t>
            </w:r>
          </w:p>
        </w:tc>
        <w:tc>
          <w:tcPr>
            <w:tcW w:w="2495" w:type="pct"/>
            <w:shd w:val="clear" w:color="auto" w:fill="auto"/>
            <w:hideMark/>
          </w:tcPr>
          <w:p w:rsidR="00781733" w:rsidRPr="0026134B" w:rsidRDefault="00781733" w:rsidP="005B3E1F">
            <w:pPr>
              <w:suppressAutoHyphens w:val="0"/>
              <w:spacing w:after="0"/>
              <w:jc w:val="left"/>
              <w:rPr>
                <w:rFonts w:eastAsia="Calibri" w:cs="Times New Roman"/>
                <w:szCs w:val="22"/>
                <w:lang w:val="el-GR" w:eastAsia="en-US"/>
              </w:rPr>
            </w:pPr>
            <w:r w:rsidRPr="0026134B">
              <w:rPr>
                <w:rFonts w:eastAsia="Calibri" w:cs="Times New Roman"/>
                <w:szCs w:val="22"/>
                <w:lang w:val="el-GR" w:eastAsia="en-US"/>
              </w:rPr>
              <w:t>Συνδυασμός φιάλης κυτταροκαλλιεργειών και καλυπτρίδας μικροσκοπίου διαστάσεων 25x75 mm με ενεργοποιημένη επιφάνεια ανάπτυξης 10 cm2 και αποσπώμενου θαλάμου του υλικού καλλιέργειας. Να επιτρέπει την μικροσκοπική παρατήρηση μετά την απομάκρυνση του θαλάμου με το υλικό καλλιέργειας. Η υάλινη επιφάνεια να έχει δείκτη διάθλασης (nD 589 nm): 1,52. Να μπορεί να γίνει ακινητοποίηση των κυττάρων και χρώση τους και να επιτρέπονται μετρήσεις ανοσοφθορισμού. Να ανθίσταται σε χημικούς διαλύτες, π.χ. ακετόνη, αιθανόλη, ξυλάνιο. Ο θάλαμος με το υλικό να αποσπάται εύκολα (click removal) χωρίς τη χρήση εργαλείων. Να έχει καπάκι αερισμού με ενσωματωμένο φίλτρο με μειωμένη εξάτμιση. Να είναι κατασκευασμένα από PS (δοχείο) και COP (καλυπτρίδα) και να έχει διαστάσεις 93x33x32 mm.</w:t>
            </w:r>
          </w:p>
        </w:tc>
        <w:tc>
          <w:tcPr>
            <w:tcW w:w="575" w:type="pct"/>
          </w:tcPr>
          <w:p w:rsidR="00781733" w:rsidRPr="0026134B" w:rsidRDefault="00781733" w:rsidP="005B3E1F">
            <w:pPr>
              <w:suppressAutoHyphens w:val="0"/>
              <w:spacing w:after="0"/>
              <w:jc w:val="left"/>
              <w:rPr>
                <w:rFonts w:eastAsia="Calibri" w:cs="Times New Roman"/>
                <w:szCs w:val="22"/>
                <w:lang w:val="el-GR" w:eastAsia="en-US"/>
              </w:rPr>
            </w:pPr>
          </w:p>
        </w:tc>
        <w:tc>
          <w:tcPr>
            <w:tcW w:w="647" w:type="pct"/>
          </w:tcPr>
          <w:p w:rsidR="00781733" w:rsidRPr="0026134B" w:rsidRDefault="00781733" w:rsidP="005B3E1F">
            <w:pPr>
              <w:suppressAutoHyphens w:val="0"/>
              <w:spacing w:after="0"/>
              <w:jc w:val="left"/>
              <w:rPr>
                <w:rFonts w:eastAsia="Calibri" w:cs="Times New Roman"/>
                <w:szCs w:val="22"/>
                <w:lang w:val="el-GR" w:eastAsia="en-US"/>
              </w:rPr>
            </w:pPr>
          </w:p>
        </w:tc>
        <w:tc>
          <w:tcPr>
            <w:tcW w:w="990" w:type="pct"/>
          </w:tcPr>
          <w:p w:rsidR="00781733" w:rsidRPr="0026134B" w:rsidRDefault="00781733" w:rsidP="005B3E1F">
            <w:pPr>
              <w:suppressAutoHyphens w:val="0"/>
              <w:spacing w:after="0"/>
              <w:jc w:val="left"/>
              <w:rPr>
                <w:rFonts w:eastAsia="Calibri" w:cs="Times New Roman"/>
                <w:szCs w:val="22"/>
                <w:lang w:val="el-GR" w:eastAsia="en-US"/>
              </w:rPr>
            </w:pPr>
          </w:p>
        </w:tc>
      </w:tr>
    </w:tbl>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p w:rsidR="00781733" w:rsidRDefault="00781733" w:rsidP="00781733">
      <w:pPr>
        <w:suppressAutoHyphens w:val="0"/>
        <w:autoSpaceDE w:val="0"/>
        <w:rPr>
          <w:rFonts w:eastAsia="SimSun"/>
          <w:sz w:val="24"/>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6"/>
        <w:gridCol w:w="4376"/>
        <w:gridCol w:w="1022"/>
        <w:gridCol w:w="1152"/>
        <w:gridCol w:w="1770"/>
      </w:tblGrid>
      <w:tr w:rsidR="00781733" w:rsidRPr="0026134B" w:rsidTr="005B3E1F">
        <w:trPr>
          <w:trHeight w:val="630"/>
        </w:trPr>
        <w:tc>
          <w:tcPr>
            <w:tcW w:w="5000" w:type="pct"/>
            <w:gridSpan w:val="5"/>
            <w:shd w:val="clear" w:color="auto" w:fill="FFFFFF"/>
          </w:tcPr>
          <w:p w:rsidR="00781733" w:rsidRPr="0026134B" w:rsidRDefault="00781733" w:rsidP="005B3E1F">
            <w:pPr>
              <w:suppressAutoHyphens w:val="0"/>
              <w:spacing w:after="0"/>
              <w:jc w:val="center"/>
              <w:rPr>
                <w:rFonts w:eastAsia="Calibri" w:cs="Times New Roman"/>
                <w:b/>
                <w:bCs/>
                <w:sz w:val="24"/>
                <w:lang w:val="el-GR" w:eastAsia="en-US"/>
              </w:rPr>
            </w:pPr>
            <w:r w:rsidRPr="0026134B">
              <w:rPr>
                <w:rFonts w:eastAsia="Calibri" w:cs="Times New Roman"/>
                <w:b/>
                <w:bCs/>
                <w:sz w:val="24"/>
                <w:lang w:val="el-GR" w:eastAsia="en-US"/>
              </w:rPr>
              <w:lastRenderedPageBreak/>
              <w:t>ΟΜΑΔΑ 2</w:t>
            </w:r>
          </w:p>
          <w:p w:rsidR="00781733" w:rsidRPr="0026134B" w:rsidRDefault="00781733" w:rsidP="005B3E1F">
            <w:pPr>
              <w:suppressAutoHyphens w:val="0"/>
              <w:spacing w:after="0"/>
              <w:jc w:val="center"/>
              <w:rPr>
                <w:rFonts w:eastAsia="Calibri" w:cs="Times New Roman"/>
                <w:b/>
                <w:bCs/>
                <w:sz w:val="24"/>
                <w:lang w:val="el-GR" w:eastAsia="en-US"/>
              </w:rPr>
            </w:pPr>
            <w:r w:rsidRPr="0026134B">
              <w:rPr>
                <w:rFonts w:eastAsia="Calibri" w:cs="Times New Roman"/>
                <w:b/>
                <w:bCs/>
                <w:sz w:val="24"/>
                <w:lang w:val="el-GR" w:eastAsia="en-US"/>
              </w:rPr>
              <w:t>Δεχόμαστε προσφορές για το σ</w:t>
            </w:r>
            <w:r>
              <w:rPr>
                <w:rFonts w:eastAsia="Calibri" w:cs="Times New Roman"/>
                <w:b/>
                <w:bCs/>
                <w:sz w:val="24"/>
                <w:lang w:val="el-GR" w:eastAsia="en-US"/>
              </w:rPr>
              <w:t xml:space="preserve">ύνολο των προϊόντων της ομάδας </w:t>
            </w:r>
          </w:p>
        </w:tc>
      </w:tr>
      <w:tr w:rsidR="00781733" w:rsidRPr="0026134B" w:rsidTr="005B3E1F">
        <w:trPr>
          <w:trHeight w:val="630"/>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b/>
                <w:bCs/>
                <w:sz w:val="24"/>
                <w:lang w:val="el-GR" w:eastAsia="en-US"/>
              </w:rPr>
            </w:pPr>
            <w:r w:rsidRPr="0026134B">
              <w:rPr>
                <w:rFonts w:ascii="Arial" w:hAnsi="Arial" w:cs="Arial"/>
                <w:b/>
                <w:bCs/>
                <w:sz w:val="24"/>
                <w:lang w:val="en-US" w:eastAsia="en-US"/>
              </w:rPr>
              <w:t>A/A </w:t>
            </w:r>
          </w:p>
        </w:tc>
        <w:tc>
          <w:tcPr>
            <w:tcW w:w="2435" w:type="pct"/>
            <w:shd w:val="clear" w:color="auto" w:fill="FFFFFF"/>
            <w:vAlign w:val="center"/>
            <w:hideMark/>
          </w:tcPr>
          <w:p w:rsidR="00781733" w:rsidRPr="0026134B" w:rsidRDefault="00781733" w:rsidP="005B3E1F">
            <w:pPr>
              <w:suppressAutoHyphens w:val="0"/>
              <w:spacing w:after="0"/>
              <w:jc w:val="center"/>
              <w:rPr>
                <w:rFonts w:ascii="Arial" w:hAnsi="Arial" w:cs="Arial"/>
                <w:b/>
                <w:bCs/>
                <w:sz w:val="20"/>
                <w:szCs w:val="20"/>
                <w:lang w:val="en-US" w:eastAsia="en-US"/>
              </w:rPr>
            </w:pPr>
            <w:r w:rsidRPr="0026134B">
              <w:rPr>
                <w:rFonts w:ascii="Arial" w:hAnsi="Arial" w:cs="Arial"/>
                <w:b/>
                <w:bCs/>
                <w:sz w:val="20"/>
                <w:szCs w:val="20"/>
                <w:lang w:val="en-US" w:eastAsia="en-US"/>
              </w:rPr>
              <w:t>Τεχνικές Προδιαγραφές</w:t>
            </w:r>
          </w:p>
        </w:tc>
        <w:tc>
          <w:tcPr>
            <w:tcW w:w="575" w:type="pct"/>
            <w:shd w:val="clear" w:color="auto" w:fill="FFFFFF"/>
          </w:tcPr>
          <w:p w:rsidR="00781733" w:rsidRDefault="00781733" w:rsidP="005B3E1F">
            <w:pPr>
              <w:suppressAutoHyphens w:val="0"/>
              <w:spacing w:after="0"/>
              <w:jc w:val="center"/>
              <w:rPr>
                <w:rFonts w:ascii="Arial" w:hAnsi="Arial" w:cs="Arial"/>
                <w:b/>
                <w:bCs/>
                <w:sz w:val="20"/>
                <w:szCs w:val="20"/>
                <w:lang w:val="el-GR" w:eastAsia="en-US"/>
              </w:rPr>
            </w:pPr>
          </w:p>
          <w:p w:rsidR="00781733" w:rsidRPr="006301DF" w:rsidRDefault="00781733" w:rsidP="005B3E1F">
            <w:pPr>
              <w:suppressAutoHyphens w:val="0"/>
              <w:spacing w:after="0"/>
              <w:jc w:val="center"/>
              <w:rPr>
                <w:rFonts w:ascii="Arial" w:hAnsi="Arial" w:cs="Arial"/>
                <w:b/>
                <w:bCs/>
                <w:sz w:val="20"/>
                <w:szCs w:val="20"/>
                <w:lang w:val="el-GR" w:eastAsia="en-US"/>
              </w:rPr>
            </w:pPr>
            <w:r>
              <w:rPr>
                <w:rFonts w:ascii="Arial" w:hAnsi="Arial" w:cs="Arial"/>
                <w:b/>
                <w:bCs/>
                <w:sz w:val="20"/>
                <w:szCs w:val="20"/>
                <w:lang w:val="el-GR" w:eastAsia="en-US"/>
              </w:rPr>
              <w:t>ΝΑΙ</w:t>
            </w:r>
          </w:p>
        </w:tc>
        <w:tc>
          <w:tcPr>
            <w:tcW w:w="647" w:type="pct"/>
            <w:shd w:val="clear" w:color="auto" w:fill="FFFFFF"/>
          </w:tcPr>
          <w:p w:rsidR="00781733" w:rsidRDefault="00781733" w:rsidP="005B3E1F">
            <w:pPr>
              <w:suppressAutoHyphens w:val="0"/>
              <w:spacing w:after="0"/>
              <w:jc w:val="center"/>
              <w:rPr>
                <w:rFonts w:ascii="Arial" w:hAnsi="Arial" w:cs="Arial"/>
                <w:b/>
                <w:bCs/>
                <w:sz w:val="20"/>
                <w:szCs w:val="20"/>
                <w:lang w:val="en-US" w:eastAsia="en-US"/>
              </w:rPr>
            </w:pPr>
          </w:p>
          <w:p w:rsidR="00781733" w:rsidRPr="006301DF" w:rsidRDefault="00781733" w:rsidP="005B3E1F">
            <w:pPr>
              <w:suppressAutoHyphens w:val="0"/>
              <w:spacing w:after="0"/>
              <w:jc w:val="center"/>
              <w:rPr>
                <w:rFonts w:ascii="Arial" w:hAnsi="Arial" w:cs="Arial"/>
                <w:b/>
                <w:bCs/>
                <w:sz w:val="20"/>
                <w:szCs w:val="20"/>
                <w:lang w:val="el-GR" w:eastAsia="en-US"/>
              </w:rPr>
            </w:pPr>
            <w:r>
              <w:rPr>
                <w:rFonts w:ascii="Arial" w:hAnsi="Arial" w:cs="Arial"/>
                <w:b/>
                <w:bCs/>
                <w:sz w:val="20"/>
                <w:szCs w:val="20"/>
                <w:lang w:val="el-GR" w:eastAsia="en-US"/>
              </w:rPr>
              <w:t>ΟΧΙ</w:t>
            </w:r>
          </w:p>
        </w:tc>
        <w:tc>
          <w:tcPr>
            <w:tcW w:w="990" w:type="pct"/>
            <w:shd w:val="clear" w:color="auto" w:fill="FFFFFF"/>
          </w:tcPr>
          <w:p w:rsidR="00781733" w:rsidRDefault="00781733" w:rsidP="005B3E1F">
            <w:pPr>
              <w:suppressAutoHyphens w:val="0"/>
              <w:spacing w:after="0"/>
              <w:jc w:val="center"/>
              <w:rPr>
                <w:rFonts w:ascii="Arial" w:hAnsi="Arial" w:cs="Arial"/>
                <w:b/>
                <w:bCs/>
                <w:sz w:val="20"/>
                <w:szCs w:val="20"/>
                <w:lang w:val="en-US" w:eastAsia="en-US"/>
              </w:rPr>
            </w:pPr>
          </w:p>
          <w:p w:rsidR="00781733" w:rsidRPr="006301DF" w:rsidRDefault="00781733" w:rsidP="005B3E1F">
            <w:pPr>
              <w:suppressAutoHyphens w:val="0"/>
              <w:spacing w:after="0"/>
              <w:jc w:val="center"/>
              <w:rPr>
                <w:rFonts w:ascii="Arial" w:hAnsi="Arial" w:cs="Arial"/>
                <w:b/>
                <w:bCs/>
                <w:sz w:val="20"/>
                <w:szCs w:val="20"/>
                <w:lang w:val="el-GR" w:eastAsia="en-US"/>
              </w:rPr>
            </w:pPr>
            <w:r>
              <w:rPr>
                <w:rFonts w:ascii="Arial" w:hAnsi="Arial" w:cs="Arial"/>
                <w:b/>
                <w:bCs/>
                <w:sz w:val="20"/>
                <w:szCs w:val="20"/>
                <w:lang w:val="el-GR" w:eastAsia="en-US"/>
              </w:rPr>
              <w:t>ΠΑΡΑΠΟΜΠΗ</w:t>
            </w:r>
          </w:p>
        </w:tc>
      </w:tr>
      <w:tr w:rsidR="00781733" w:rsidRPr="0026134B" w:rsidTr="005B3E1F">
        <w:trPr>
          <w:trHeight w:val="5010"/>
        </w:trPr>
        <w:tc>
          <w:tcPr>
            <w:tcW w:w="353" w:type="pct"/>
            <w:shd w:val="clear" w:color="auto" w:fill="FFFFFF"/>
            <w:vAlign w:val="center"/>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1</w:t>
            </w:r>
          </w:p>
        </w:tc>
        <w:tc>
          <w:tcPr>
            <w:tcW w:w="2435" w:type="pct"/>
            <w:shd w:val="clear" w:color="auto" w:fill="FFFFFF"/>
          </w:tcPr>
          <w:p w:rsidR="00781733" w:rsidRPr="0026134B" w:rsidRDefault="00781733" w:rsidP="005B3E1F">
            <w:pPr>
              <w:suppressAutoHyphens w:val="0"/>
              <w:spacing w:after="0"/>
              <w:jc w:val="center"/>
              <w:rPr>
                <w:rFonts w:ascii="Arial" w:hAnsi="Arial" w:cs="Arial"/>
                <w:sz w:val="20"/>
                <w:szCs w:val="20"/>
                <w:lang w:val="el-GR" w:eastAsia="en-US"/>
              </w:rPr>
            </w:pPr>
            <w:r w:rsidRPr="0026134B">
              <w:rPr>
                <w:color w:val="000000"/>
                <w:szCs w:val="22"/>
                <w:lang w:val="el-GR" w:eastAsia="zh-CN"/>
              </w:rPr>
              <w:t>Κιτ για απομόνωση total RNA από πολύ μικρούς όγκους δειγμάτων ακόμα και από ένα κύτταρο ή 0.1 mg ιστού. Να παρέχεται υψηλής καθαρότητας και υψηλής συγκέντρωσης RNA. Ο όγκος έκλουσης να είναι πολύ μικρός (5 – 20 μl). Να είναι δυνατή η έκλουση και στα 5 μl. Η διαδικασία να ολοκληρώνεται σε λιγότερο από 45 λεπτά. Η συσκευασία να περιλαμβάνει DNase για ενδεχόμενη on-column απομάκρυνση DNA. Κατάλληλο</w:t>
            </w:r>
            <w:r w:rsidRPr="0026134B">
              <w:rPr>
                <w:color w:val="000000"/>
                <w:szCs w:val="22"/>
                <w:lang w:val="en-US" w:eastAsia="zh-CN"/>
              </w:rPr>
              <w:t xml:space="preserve"> </w:t>
            </w:r>
            <w:r w:rsidRPr="0026134B">
              <w:rPr>
                <w:color w:val="000000"/>
                <w:szCs w:val="22"/>
                <w:lang w:val="el-GR" w:eastAsia="zh-CN"/>
              </w:rPr>
              <w:t>για</w:t>
            </w:r>
            <w:r w:rsidRPr="0026134B">
              <w:rPr>
                <w:color w:val="000000"/>
                <w:szCs w:val="22"/>
                <w:lang w:val="en-US" w:eastAsia="zh-CN"/>
              </w:rPr>
              <w:t xml:space="preserve"> </w:t>
            </w:r>
            <w:r w:rsidRPr="0026134B">
              <w:rPr>
                <w:color w:val="000000"/>
                <w:szCs w:val="22"/>
                <w:lang w:val="el-GR" w:eastAsia="zh-CN"/>
              </w:rPr>
              <w:t>όλες</w:t>
            </w:r>
            <w:r w:rsidRPr="0026134B">
              <w:rPr>
                <w:color w:val="000000"/>
                <w:szCs w:val="22"/>
                <w:lang w:val="en-US" w:eastAsia="zh-CN"/>
              </w:rPr>
              <w:t xml:space="preserve"> </w:t>
            </w:r>
            <w:r w:rsidRPr="0026134B">
              <w:rPr>
                <w:color w:val="000000"/>
                <w:szCs w:val="22"/>
                <w:lang w:val="el-GR" w:eastAsia="zh-CN"/>
              </w:rPr>
              <w:t>τις</w:t>
            </w:r>
            <w:r w:rsidRPr="0026134B">
              <w:rPr>
                <w:color w:val="000000"/>
                <w:szCs w:val="22"/>
                <w:lang w:val="en-US" w:eastAsia="zh-CN"/>
              </w:rPr>
              <w:t xml:space="preserve"> </w:t>
            </w:r>
            <w:r w:rsidRPr="0026134B">
              <w:rPr>
                <w:color w:val="000000"/>
                <w:szCs w:val="22"/>
                <w:lang w:val="el-GR" w:eastAsia="zh-CN"/>
              </w:rPr>
              <w:t>συνήθεις</w:t>
            </w:r>
            <w:r w:rsidRPr="0026134B">
              <w:rPr>
                <w:color w:val="000000"/>
                <w:szCs w:val="22"/>
                <w:lang w:val="en-US" w:eastAsia="zh-CN"/>
              </w:rPr>
              <w:t xml:space="preserve"> </w:t>
            </w:r>
            <w:r w:rsidRPr="0026134B">
              <w:rPr>
                <w:color w:val="000000"/>
                <w:szCs w:val="22"/>
                <w:lang w:val="el-GR" w:eastAsia="zh-CN"/>
              </w:rPr>
              <w:t>εφαρμογές</w:t>
            </w:r>
            <w:r w:rsidRPr="0026134B">
              <w:rPr>
                <w:color w:val="000000"/>
                <w:szCs w:val="22"/>
                <w:lang w:val="en-US" w:eastAsia="zh-CN"/>
              </w:rPr>
              <w:t xml:space="preserve">: real-time RT-PCR, Northern blotting, primer extension, array technology, RNase protection assays. </w:t>
            </w:r>
            <w:r w:rsidRPr="0026134B">
              <w:rPr>
                <w:color w:val="000000"/>
                <w:szCs w:val="22"/>
                <w:lang w:val="el-GR" w:eastAsia="zh-CN"/>
              </w:rPr>
              <w:t>Να</w:t>
            </w:r>
            <w:r w:rsidRPr="0026134B">
              <w:rPr>
                <w:color w:val="000000"/>
                <w:szCs w:val="22"/>
                <w:lang w:val="en-US" w:eastAsia="zh-CN"/>
              </w:rPr>
              <w:t xml:space="preserve"> </w:t>
            </w:r>
            <w:r w:rsidRPr="0026134B">
              <w:rPr>
                <w:color w:val="000000"/>
                <w:szCs w:val="22"/>
                <w:lang w:val="el-GR" w:eastAsia="zh-CN"/>
              </w:rPr>
              <w:t>περιλαμβάνει</w:t>
            </w:r>
            <w:r w:rsidRPr="0026134B">
              <w:rPr>
                <w:color w:val="000000"/>
                <w:szCs w:val="22"/>
                <w:lang w:val="en-US" w:eastAsia="zh-CN"/>
              </w:rPr>
              <w:t xml:space="preserve"> Lysis Buffer RA1 ,Wash Buffer RA2 ,Wash Buffer RA3, Membrane Desalting Buffer, Reaction Buffer for rDNase, rDNase, RNase-free, Carrier RNA, Reducing Agent TCEP, RNase-free H2O, </w:t>
            </w:r>
            <w:r w:rsidRPr="0026134B">
              <w:rPr>
                <w:color w:val="000000"/>
                <w:szCs w:val="22"/>
                <w:lang w:val="el-GR" w:eastAsia="zh-CN"/>
              </w:rPr>
              <w:t>Φίλτρα</w:t>
            </w:r>
            <w:r w:rsidRPr="0026134B">
              <w:rPr>
                <w:color w:val="000000"/>
                <w:szCs w:val="22"/>
                <w:lang w:val="en-US" w:eastAsia="zh-CN"/>
              </w:rPr>
              <w:t xml:space="preserve"> (Shredders). N</w:t>
            </w:r>
            <w:r w:rsidRPr="0026134B">
              <w:rPr>
                <w:color w:val="000000"/>
                <w:szCs w:val="22"/>
                <w:lang w:val="el-GR" w:eastAsia="zh-CN"/>
              </w:rPr>
              <w:t xml:space="preserve">α διατίθεται σε συσκευασία των 50 απομονώσεων. </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618"/>
        </w:trPr>
        <w:tc>
          <w:tcPr>
            <w:tcW w:w="353" w:type="pct"/>
            <w:shd w:val="clear" w:color="auto" w:fill="FFFFFF"/>
            <w:vAlign w:val="center"/>
          </w:tcPr>
          <w:p w:rsidR="00781733" w:rsidRPr="0026134B" w:rsidRDefault="00781733" w:rsidP="005B3E1F">
            <w:pPr>
              <w:suppressAutoHyphens w:val="0"/>
              <w:spacing w:after="0"/>
              <w:jc w:val="center"/>
              <w:rPr>
                <w:rFonts w:ascii="Arial" w:hAnsi="Arial" w:cs="Arial"/>
                <w:sz w:val="24"/>
                <w:lang w:val="el-GR" w:eastAsia="en-US"/>
              </w:rPr>
            </w:pPr>
            <w:r w:rsidRPr="0026134B">
              <w:rPr>
                <w:rFonts w:ascii="Arial" w:hAnsi="Arial" w:cs="Arial"/>
                <w:sz w:val="24"/>
                <w:lang w:val="el-GR" w:eastAsia="en-US"/>
              </w:rPr>
              <w:t>2</w:t>
            </w:r>
          </w:p>
        </w:tc>
        <w:tc>
          <w:tcPr>
            <w:tcW w:w="2435" w:type="pct"/>
            <w:shd w:val="clear" w:color="auto" w:fill="FFFFFF"/>
          </w:tcPr>
          <w:p w:rsidR="00781733" w:rsidRPr="0026134B" w:rsidRDefault="00781733" w:rsidP="005B3E1F">
            <w:pPr>
              <w:suppressAutoHyphens w:val="0"/>
              <w:spacing w:after="0"/>
              <w:jc w:val="center"/>
              <w:rPr>
                <w:rFonts w:ascii="Arial" w:hAnsi="Arial" w:cs="Arial"/>
                <w:sz w:val="20"/>
                <w:szCs w:val="20"/>
                <w:lang w:val="el-GR" w:eastAsia="en-US"/>
              </w:rPr>
            </w:pPr>
            <w:r w:rsidRPr="0026134B">
              <w:rPr>
                <w:color w:val="000000"/>
                <w:szCs w:val="22"/>
                <w:lang w:val="el-GR" w:eastAsia="zh-CN"/>
              </w:rPr>
              <w:t xml:space="preserve">Κιτ  για επιπλέον καθαρισμό του RNA που έχει απομονωθεί με την μέθοδο φαινόλης/χλωροφόρμιο, ή από επεξεργασία με ένζυμα. Να χρησιμοποιεί τεχνολογία Silica Membrane με XS spin columns. Να μπορεί να δεχθεί έως και 300μl αρχικό δείγμα το οποίο περιέχει έως και 90μg RNA. Υψηλή ανάκτηση RNA, περισσότερη από 95%. Να δίνει υψηλής συγκέντρωσης RNA (A260/A280: 1.9–2.1). Να είναι δυνατοί μικροί όγκοι έκλουσης ακόμα και 5μl. Η διαδικασία να ολοκληρώνεται σε λιγότερο από 20 λεπτά. Να παρέχει RNA έτοιμο προς χρήση, κατάλληλο για όλες τις συνήθεις εφαρμογές. Nα διατίθεται σε συσκευασία των 50 απομονώσεων. </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3311"/>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lastRenderedPageBreak/>
              <w:t>3</w:t>
            </w:r>
          </w:p>
        </w:tc>
        <w:tc>
          <w:tcPr>
            <w:tcW w:w="2435" w:type="pct"/>
            <w:shd w:val="clear" w:color="auto" w:fill="FFFFFF"/>
          </w:tcPr>
          <w:p w:rsidR="00781733" w:rsidRPr="0026134B" w:rsidRDefault="00781733" w:rsidP="005B3E1F">
            <w:pPr>
              <w:suppressAutoHyphens w:val="0"/>
              <w:spacing w:after="0"/>
              <w:jc w:val="center"/>
              <w:rPr>
                <w:rFonts w:ascii="Arial" w:hAnsi="Arial" w:cs="Arial"/>
                <w:sz w:val="20"/>
                <w:szCs w:val="20"/>
                <w:lang w:val="el-GR" w:eastAsia="en-US"/>
              </w:rPr>
            </w:pPr>
            <w:r w:rsidRPr="0026134B">
              <w:rPr>
                <w:color w:val="000000"/>
                <w:szCs w:val="22"/>
                <w:lang w:val="el-GR" w:eastAsia="zh-CN"/>
              </w:rPr>
              <w:t>Διάλυμα</w:t>
            </w:r>
            <w:r w:rsidRPr="0026134B">
              <w:rPr>
                <w:color w:val="000000"/>
                <w:szCs w:val="22"/>
                <w:lang w:val="en-US" w:eastAsia="zh-CN"/>
              </w:rPr>
              <w:t xml:space="preserve"> </w:t>
            </w:r>
            <w:r w:rsidRPr="0026134B">
              <w:rPr>
                <w:color w:val="000000"/>
                <w:szCs w:val="22"/>
                <w:lang w:val="el-GR" w:eastAsia="zh-CN"/>
              </w:rPr>
              <w:t>για</w:t>
            </w:r>
            <w:r w:rsidRPr="0026134B">
              <w:rPr>
                <w:color w:val="000000"/>
                <w:szCs w:val="22"/>
                <w:lang w:val="en-US" w:eastAsia="zh-CN"/>
              </w:rPr>
              <w:t xml:space="preserve"> </w:t>
            </w:r>
            <w:r w:rsidRPr="0026134B">
              <w:rPr>
                <w:color w:val="000000"/>
                <w:szCs w:val="22"/>
                <w:lang w:val="el-GR" w:eastAsia="zh-CN"/>
              </w:rPr>
              <w:t>απομόνωση</w:t>
            </w:r>
            <w:r w:rsidRPr="0026134B">
              <w:rPr>
                <w:color w:val="000000"/>
                <w:szCs w:val="22"/>
                <w:lang w:val="en-US" w:eastAsia="zh-CN"/>
              </w:rPr>
              <w:t xml:space="preserve"> RNA </w:t>
            </w:r>
            <w:r w:rsidRPr="0026134B">
              <w:rPr>
                <w:color w:val="000000"/>
                <w:szCs w:val="22"/>
                <w:lang w:val="el-GR" w:eastAsia="zh-CN"/>
              </w:rPr>
              <w:t>από</w:t>
            </w:r>
            <w:r w:rsidRPr="0026134B">
              <w:rPr>
                <w:color w:val="000000"/>
                <w:szCs w:val="22"/>
                <w:lang w:val="en-US" w:eastAsia="zh-CN"/>
              </w:rPr>
              <w:t xml:space="preserve"> cultured cells, bacterial cells, yeast cells,  tissue,  viral fluids. </w:t>
            </w:r>
            <w:r w:rsidRPr="0026134B">
              <w:rPr>
                <w:color w:val="000000"/>
                <w:szCs w:val="22"/>
                <w:lang w:val="el-GR" w:eastAsia="zh-CN"/>
              </w:rPr>
              <w:t xml:space="preserve">Να μην απαιτεί χρήση χλωροφόρμιου. Να μην απαιτεί διαχωρισμό φάσεων. Να είναι κατάλληλο για απομόνωση μικρών και μεγάλων RNA. Να παρέχεται υψηλής καθαρότητας RNA με μεγάλο RIN value. Η διαδικασία να ολοκληρώνεται σε λιγότερο από μία ώρα. Να είναι κατάλληλο για όλες τις συνήθεις εφαρμογές: </w:t>
            </w:r>
            <w:r w:rsidRPr="0026134B">
              <w:rPr>
                <w:color w:val="000000"/>
                <w:szCs w:val="22"/>
                <w:lang w:val="en-US" w:eastAsia="zh-CN"/>
              </w:rPr>
              <w:t>real</w:t>
            </w:r>
            <w:r w:rsidRPr="0026134B">
              <w:rPr>
                <w:color w:val="000000"/>
                <w:szCs w:val="22"/>
                <w:lang w:val="el-GR" w:eastAsia="zh-CN"/>
              </w:rPr>
              <w:t>-</w:t>
            </w:r>
            <w:r w:rsidRPr="0026134B">
              <w:rPr>
                <w:color w:val="000000"/>
                <w:szCs w:val="22"/>
                <w:lang w:val="en-US" w:eastAsia="zh-CN"/>
              </w:rPr>
              <w:t>time</w:t>
            </w:r>
            <w:r w:rsidRPr="0026134B">
              <w:rPr>
                <w:color w:val="000000"/>
                <w:szCs w:val="22"/>
                <w:lang w:val="el-GR" w:eastAsia="zh-CN"/>
              </w:rPr>
              <w:t xml:space="preserve"> </w:t>
            </w:r>
            <w:r w:rsidRPr="0026134B">
              <w:rPr>
                <w:color w:val="000000"/>
                <w:szCs w:val="22"/>
                <w:lang w:val="en-US" w:eastAsia="zh-CN"/>
              </w:rPr>
              <w:t>RT</w:t>
            </w:r>
            <w:r w:rsidRPr="0026134B">
              <w:rPr>
                <w:color w:val="000000"/>
                <w:szCs w:val="22"/>
                <w:lang w:val="el-GR" w:eastAsia="zh-CN"/>
              </w:rPr>
              <w:t>-</w:t>
            </w:r>
            <w:r w:rsidRPr="0026134B">
              <w:rPr>
                <w:color w:val="000000"/>
                <w:szCs w:val="22"/>
                <w:lang w:val="en-US" w:eastAsia="zh-CN"/>
              </w:rPr>
              <w:t>PCR</w:t>
            </w:r>
            <w:r w:rsidRPr="0026134B">
              <w:rPr>
                <w:color w:val="000000"/>
                <w:szCs w:val="22"/>
                <w:lang w:val="el-GR" w:eastAsia="zh-CN"/>
              </w:rPr>
              <w:t xml:space="preserve">, </w:t>
            </w:r>
            <w:r w:rsidRPr="0026134B">
              <w:rPr>
                <w:color w:val="000000"/>
                <w:szCs w:val="22"/>
                <w:lang w:val="en-US" w:eastAsia="zh-CN"/>
              </w:rPr>
              <w:t>Northern</w:t>
            </w:r>
            <w:r w:rsidRPr="0026134B">
              <w:rPr>
                <w:color w:val="000000"/>
                <w:szCs w:val="22"/>
                <w:lang w:val="el-GR" w:eastAsia="zh-CN"/>
              </w:rPr>
              <w:t xml:space="preserve"> </w:t>
            </w:r>
            <w:r w:rsidRPr="0026134B">
              <w:rPr>
                <w:color w:val="000000"/>
                <w:szCs w:val="22"/>
                <w:lang w:val="en-US" w:eastAsia="zh-CN"/>
              </w:rPr>
              <w:t>blotting</w:t>
            </w:r>
            <w:r w:rsidRPr="0026134B">
              <w:rPr>
                <w:color w:val="000000"/>
                <w:szCs w:val="22"/>
                <w:lang w:val="el-GR" w:eastAsia="zh-CN"/>
              </w:rPr>
              <w:t xml:space="preserve">, </w:t>
            </w:r>
            <w:r w:rsidRPr="0026134B">
              <w:rPr>
                <w:color w:val="000000"/>
                <w:szCs w:val="22"/>
                <w:lang w:val="en-US" w:eastAsia="zh-CN"/>
              </w:rPr>
              <w:t>primer</w:t>
            </w:r>
            <w:r w:rsidRPr="0026134B">
              <w:rPr>
                <w:color w:val="000000"/>
                <w:szCs w:val="22"/>
                <w:lang w:val="el-GR" w:eastAsia="zh-CN"/>
              </w:rPr>
              <w:t xml:space="preserve"> </w:t>
            </w:r>
            <w:r w:rsidRPr="0026134B">
              <w:rPr>
                <w:color w:val="000000"/>
                <w:szCs w:val="22"/>
                <w:lang w:val="en-US" w:eastAsia="zh-CN"/>
              </w:rPr>
              <w:t>extension</w:t>
            </w:r>
            <w:r w:rsidRPr="0026134B">
              <w:rPr>
                <w:color w:val="000000"/>
                <w:szCs w:val="22"/>
                <w:lang w:val="el-GR" w:eastAsia="zh-CN"/>
              </w:rPr>
              <w:t xml:space="preserve">, </w:t>
            </w:r>
            <w:r w:rsidRPr="0026134B">
              <w:rPr>
                <w:color w:val="000000"/>
                <w:szCs w:val="22"/>
                <w:lang w:val="en-US" w:eastAsia="zh-CN"/>
              </w:rPr>
              <w:t>array</w:t>
            </w:r>
            <w:r w:rsidRPr="0026134B">
              <w:rPr>
                <w:color w:val="000000"/>
                <w:szCs w:val="22"/>
                <w:lang w:val="el-GR" w:eastAsia="zh-CN"/>
              </w:rPr>
              <w:t xml:space="preserve"> </w:t>
            </w:r>
            <w:r w:rsidRPr="0026134B">
              <w:rPr>
                <w:color w:val="000000"/>
                <w:szCs w:val="22"/>
                <w:lang w:val="en-US" w:eastAsia="zh-CN"/>
              </w:rPr>
              <w:t>technology</w:t>
            </w:r>
            <w:r w:rsidRPr="0026134B">
              <w:rPr>
                <w:color w:val="000000"/>
                <w:szCs w:val="22"/>
                <w:lang w:val="el-GR" w:eastAsia="zh-CN"/>
              </w:rPr>
              <w:t xml:space="preserve">, </w:t>
            </w:r>
            <w:r w:rsidRPr="0026134B">
              <w:rPr>
                <w:color w:val="000000"/>
                <w:szCs w:val="22"/>
                <w:lang w:val="en-US" w:eastAsia="zh-CN"/>
              </w:rPr>
              <w:t>Rnase</w:t>
            </w:r>
            <w:r w:rsidRPr="0026134B">
              <w:rPr>
                <w:color w:val="000000"/>
                <w:szCs w:val="22"/>
                <w:lang w:val="el-GR" w:eastAsia="zh-CN"/>
              </w:rPr>
              <w:t xml:space="preserve"> </w:t>
            </w:r>
            <w:r w:rsidRPr="0026134B">
              <w:rPr>
                <w:color w:val="000000"/>
                <w:szCs w:val="22"/>
                <w:lang w:val="en-US" w:eastAsia="zh-CN"/>
              </w:rPr>
              <w:t>protection</w:t>
            </w:r>
            <w:r w:rsidRPr="0026134B">
              <w:rPr>
                <w:color w:val="000000"/>
                <w:szCs w:val="22"/>
                <w:lang w:val="el-GR" w:eastAsia="zh-CN"/>
              </w:rPr>
              <w:t xml:space="preserve"> </w:t>
            </w:r>
            <w:r w:rsidRPr="0026134B">
              <w:rPr>
                <w:color w:val="000000"/>
                <w:szCs w:val="22"/>
                <w:lang w:val="en-US" w:eastAsia="zh-CN"/>
              </w:rPr>
              <w:t>assays</w:t>
            </w:r>
            <w:r w:rsidRPr="0026134B">
              <w:rPr>
                <w:color w:val="000000"/>
                <w:szCs w:val="22"/>
                <w:lang w:val="el-GR" w:eastAsia="zh-CN"/>
              </w:rPr>
              <w:t xml:space="preserve">. Nα διατίθεται σε συσκευασία των 200 ml. </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3953"/>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4</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l-GR" w:eastAsia="en-US"/>
              </w:rPr>
            </w:pPr>
            <w:r w:rsidRPr="0026134B">
              <w:rPr>
                <w:color w:val="000000"/>
                <w:szCs w:val="22"/>
                <w:lang w:val="el-GR" w:eastAsia="zh-CN"/>
              </w:rPr>
              <w:t xml:space="preserve">Κit για επιπλέον καθαρισμό και απόδοση total RNA που έχει απομονωθεί με διάλυμα  Nucleozol. Η διαδικασία να επιτυγχάνεται με τεχνολογία Silica Membrane με spin columns και σε ένα μόνο στάδιο έκπλυσης - έκλουσης. Να δέχεται έως και ≤ 500 µL δείγματος. Το επιθυμητό μέγεθος θράυσματος να είναι για μικρά RNA, 10-200 nt και για μεγάλα RNA: &gt; 200 nt. Να επιτυγχάνεται ανάκτηση του RNA έως και 95%. Ο όγκος έκλουσης να είναι 60μl. Η διαδικασία να ολοκληρώνεται σε λιγότερο από μία ώρα. Το κιτ να περιλαμβάνει RNA στήλες, σωλήνες συλλογής, ρυθμιστικά διαλύματα. Να διατίθεται σε συσκευασία των 50 στηλών. </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901"/>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5</w:t>
            </w:r>
          </w:p>
        </w:tc>
        <w:tc>
          <w:tcPr>
            <w:tcW w:w="2435" w:type="pct"/>
            <w:shd w:val="clear" w:color="auto" w:fill="FFFFFF"/>
            <w:vAlign w:val="center"/>
            <w:hideMark/>
          </w:tcPr>
          <w:p w:rsidR="00781733" w:rsidRPr="0026134B" w:rsidRDefault="00781733" w:rsidP="005B3E1F">
            <w:pPr>
              <w:suppressAutoHyphens w:val="0"/>
              <w:spacing w:after="0"/>
              <w:jc w:val="center"/>
              <w:rPr>
                <w:color w:val="000000"/>
                <w:szCs w:val="22"/>
                <w:lang w:val="el-GR" w:eastAsia="en-US"/>
              </w:rPr>
            </w:pPr>
            <w:r w:rsidRPr="0026134B">
              <w:rPr>
                <w:color w:val="000000"/>
                <w:szCs w:val="22"/>
                <w:lang w:val="el-GR" w:eastAsia="zh-CN"/>
              </w:rPr>
              <w:t xml:space="preserve">Πολυμεράση υψηλής πιστότητας </w:t>
            </w:r>
            <w:r w:rsidRPr="0026134B">
              <w:rPr>
                <w:color w:val="000000"/>
                <w:szCs w:val="22"/>
                <w:lang w:val="en-US" w:eastAsia="zh-CN"/>
              </w:rPr>
              <w:t>hot</w:t>
            </w:r>
            <w:r w:rsidRPr="0026134B">
              <w:rPr>
                <w:color w:val="000000"/>
                <w:szCs w:val="22"/>
                <w:lang w:val="el-GR" w:eastAsia="zh-CN"/>
              </w:rPr>
              <w:t xml:space="preserve"> </w:t>
            </w:r>
            <w:r w:rsidRPr="0026134B">
              <w:rPr>
                <w:color w:val="000000"/>
                <w:szCs w:val="22"/>
                <w:lang w:val="en-US" w:eastAsia="zh-CN"/>
              </w:rPr>
              <w:t>start</w:t>
            </w:r>
            <w:r w:rsidRPr="0026134B">
              <w:rPr>
                <w:color w:val="000000"/>
                <w:szCs w:val="22"/>
                <w:lang w:val="el-GR" w:eastAsia="zh-CN"/>
              </w:rPr>
              <w:t>, 250 units. Να έχει την μεγαλύτερη δυνατή πιστότητα σε σχέση με την απλή Taq. Να είναι Hot Start πολυμεράση. Να είναι κατάλληλη για δύσκολες περιοχές. Να είναι κατάλληλη για ενίσχυση μεγάλων τμημάτων (έως 15 Kb). Να είναι κατάλληλη για γρήγορες αντιδράσεις. Η συσκευασία να περιλαμβάνει 5</w:t>
            </w:r>
            <w:r w:rsidRPr="0026134B">
              <w:rPr>
                <w:color w:val="000000"/>
                <w:szCs w:val="22"/>
                <w:lang w:val="en-US" w:eastAsia="zh-CN"/>
              </w:rPr>
              <w:t>x</w:t>
            </w:r>
            <w:r w:rsidRPr="0026134B">
              <w:rPr>
                <w:color w:val="000000"/>
                <w:szCs w:val="22"/>
                <w:lang w:val="el-GR" w:eastAsia="zh-CN"/>
              </w:rPr>
              <w:t xml:space="preserve"> </w:t>
            </w:r>
            <w:r w:rsidRPr="0026134B">
              <w:rPr>
                <w:color w:val="000000"/>
                <w:szCs w:val="22"/>
                <w:lang w:val="en-US" w:eastAsia="zh-CN"/>
              </w:rPr>
              <w:t>High</w:t>
            </w:r>
            <w:r w:rsidRPr="0026134B">
              <w:rPr>
                <w:color w:val="000000"/>
                <w:szCs w:val="22"/>
                <w:lang w:val="el-GR" w:eastAsia="zh-CN"/>
              </w:rPr>
              <w:t xml:space="preserve"> </w:t>
            </w:r>
            <w:r w:rsidRPr="0026134B">
              <w:rPr>
                <w:color w:val="000000"/>
                <w:szCs w:val="22"/>
                <w:lang w:val="en-US" w:eastAsia="zh-CN"/>
              </w:rPr>
              <w:t>Fidelity</w:t>
            </w:r>
            <w:r w:rsidRPr="0026134B">
              <w:rPr>
                <w:color w:val="000000"/>
                <w:szCs w:val="22"/>
                <w:lang w:val="el-GR" w:eastAsia="zh-CN"/>
              </w:rPr>
              <w:t xml:space="preserve"> </w:t>
            </w:r>
            <w:r w:rsidRPr="0026134B">
              <w:rPr>
                <w:color w:val="000000"/>
                <w:szCs w:val="22"/>
                <w:lang w:val="en-US" w:eastAsia="zh-CN"/>
              </w:rPr>
              <w:t>Buffer</w:t>
            </w:r>
            <w:r w:rsidRPr="0026134B">
              <w:rPr>
                <w:color w:val="000000"/>
                <w:szCs w:val="22"/>
                <w:lang w:val="el-GR" w:eastAsia="zh-CN"/>
              </w:rPr>
              <w:t xml:space="preserve"> με </w:t>
            </w:r>
            <w:r w:rsidRPr="0026134B">
              <w:rPr>
                <w:color w:val="000000"/>
                <w:szCs w:val="22"/>
                <w:lang w:val="en-US" w:eastAsia="zh-CN"/>
              </w:rPr>
              <w:t>MgCl</w:t>
            </w:r>
            <w:r w:rsidRPr="0026134B">
              <w:rPr>
                <w:color w:val="000000"/>
                <w:szCs w:val="22"/>
                <w:lang w:val="el-GR" w:eastAsia="zh-CN"/>
              </w:rPr>
              <w:t>2 5</w:t>
            </w:r>
            <w:r w:rsidRPr="0026134B">
              <w:rPr>
                <w:color w:val="000000"/>
                <w:szCs w:val="22"/>
                <w:lang w:val="en-US" w:eastAsia="zh-CN"/>
              </w:rPr>
              <w:t>x</w:t>
            </w:r>
            <w:r w:rsidRPr="0026134B">
              <w:rPr>
                <w:color w:val="000000"/>
                <w:szCs w:val="22"/>
                <w:lang w:val="el-GR" w:eastAsia="zh-CN"/>
              </w:rPr>
              <w:t xml:space="preserve"> </w:t>
            </w:r>
            <w:r w:rsidRPr="0026134B">
              <w:rPr>
                <w:color w:val="000000"/>
                <w:szCs w:val="22"/>
                <w:lang w:val="en-US" w:eastAsia="zh-CN"/>
              </w:rPr>
              <w:t>High</w:t>
            </w:r>
            <w:r w:rsidRPr="0026134B">
              <w:rPr>
                <w:color w:val="000000"/>
                <w:szCs w:val="22"/>
                <w:lang w:val="el-GR" w:eastAsia="zh-CN"/>
              </w:rPr>
              <w:t xml:space="preserve"> </w:t>
            </w:r>
            <w:r w:rsidRPr="0026134B">
              <w:rPr>
                <w:color w:val="000000"/>
                <w:szCs w:val="22"/>
                <w:lang w:val="en-US" w:eastAsia="zh-CN"/>
              </w:rPr>
              <w:t>Fidelity</w:t>
            </w:r>
            <w:r w:rsidRPr="0026134B">
              <w:rPr>
                <w:color w:val="000000"/>
                <w:szCs w:val="22"/>
                <w:lang w:val="el-GR" w:eastAsia="zh-CN"/>
              </w:rPr>
              <w:t xml:space="preserve"> </w:t>
            </w:r>
            <w:r w:rsidRPr="0026134B">
              <w:rPr>
                <w:color w:val="000000"/>
                <w:szCs w:val="22"/>
                <w:lang w:val="en-US" w:eastAsia="zh-CN"/>
              </w:rPr>
              <w:t>GC</w:t>
            </w:r>
            <w:r w:rsidRPr="0026134B">
              <w:rPr>
                <w:color w:val="000000"/>
                <w:szCs w:val="22"/>
                <w:lang w:val="el-GR" w:eastAsia="zh-CN"/>
              </w:rPr>
              <w:t xml:space="preserve"> διάλυμα με </w:t>
            </w:r>
            <w:r w:rsidRPr="0026134B">
              <w:rPr>
                <w:color w:val="000000"/>
                <w:szCs w:val="22"/>
                <w:lang w:val="en-US" w:eastAsia="zh-CN"/>
              </w:rPr>
              <w:t>MgCl</w:t>
            </w:r>
            <w:r w:rsidRPr="0026134B">
              <w:rPr>
                <w:color w:val="000000"/>
                <w:szCs w:val="22"/>
                <w:lang w:val="el-GR" w:eastAsia="zh-CN"/>
              </w:rPr>
              <w:t xml:space="preserve">2, 25 </w:t>
            </w:r>
            <w:r w:rsidRPr="0026134B">
              <w:rPr>
                <w:color w:val="000000"/>
                <w:szCs w:val="22"/>
                <w:lang w:val="en-US" w:eastAsia="zh-CN"/>
              </w:rPr>
              <w:t>mM</w:t>
            </w:r>
            <w:r w:rsidRPr="0026134B">
              <w:rPr>
                <w:color w:val="000000"/>
                <w:szCs w:val="22"/>
                <w:lang w:val="el-GR" w:eastAsia="zh-CN"/>
              </w:rPr>
              <w:t xml:space="preserve"> </w:t>
            </w:r>
            <w:r w:rsidRPr="0026134B">
              <w:rPr>
                <w:color w:val="000000"/>
                <w:szCs w:val="22"/>
                <w:lang w:val="en-US" w:eastAsia="zh-CN"/>
              </w:rPr>
              <w:t>MgCl</w:t>
            </w:r>
            <w:r w:rsidRPr="0026134B">
              <w:rPr>
                <w:color w:val="000000"/>
                <w:szCs w:val="22"/>
                <w:lang w:val="el-GR" w:eastAsia="zh-CN"/>
              </w:rPr>
              <w:t xml:space="preserve">2, </w:t>
            </w:r>
            <w:r w:rsidRPr="0026134B">
              <w:rPr>
                <w:color w:val="000000"/>
                <w:szCs w:val="22"/>
                <w:lang w:val="en-US" w:eastAsia="zh-CN"/>
              </w:rPr>
              <w:t>Dntp</w:t>
            </w:r>
            <w:r w:rsidRPr="0026134B">
              <w:rPr>
                <w:color w:val="000000"/>
                <w:szCs w:val="22"/>
                <w:lang w:val="el-GR" w:eastAsia="zh-CN"/>
              </w:rPr>
              <w:t xml:space="preserve"> </w:t>
            </w:r>
            <w:r w:rsidRPr="0026134B">
              <w:rPr>
                <w:color w:val="000000"/>
                <w:szCs w:val="22"/>
                <w:lang w:val="en-US" w:eastAsia="zh-CN"/>
              </w:rPr>
              <w:t>Mix</w:t>
            </w:r>
            <w:r w:rsidRPr="0026134B">
              <w:rPr>
                <w:color w:val="000000"/>
                <w:szCs w:val="22"/>
                <w:lang w:val="el-GR" w:eastAsia="zh-CN"/>
              </w:rPr>
              <w:t xml:space="preserve"> (10 </w:t>
            </w:r>
            <w:r w:rsidRPr="0026134B">
              <w:rPr>
                <w:color w:val="000000"/>
                <w:szCs w:val="22"/>
                <w:lang w:val="en-US" w:eastAsia="zh-CN"/>
              </w:rPr>
              <w:t>Mm</w:t>
            </w:r>
            <w:r w:rsidRPr="0026134B">
              <w:rPr>
                <w:color w:val="000000"/>
                <w:szCs w:val="22"/>
                <w:lang w:val="el-GR" w:eastAsia="zh-CN"/>
              </w:rPr>
              <w:t xml:space="preserve"> κάθε νουκλεοτίδιο)</w:t>
            </w:r>
          </w:p>
          <w:p w:rsidR="00781733" w:rsidRPr="0026134B" w:rsidRDefault="00781733" w:rsidP="005B3E1F">
            <w:pPr>
              <w:suppressAutoHyphens w:val="0"/>
              <w:spacing w:after="0"/>
              <w:jc w:val="center"/>
              <w:rPr>
                <w:rFonts w:ascii="Arial" w:hAnsi="Arial" w:cs="Arial"/>
                <w:sz w:val="20"/>
                <w:szCs w:val="20"/>
                <w:lang w:val="el-GR" w:eastAsia="en-US"/>
              </w:rPr>
            </w:pP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4020"/>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lastRenderedPageBreak/>
              <w:t>6</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l-GR" w:eastAsia="en-US"/>
              </w:rPr>
            </w:pPr>
            <w:r w:rsidRPr="00595237">
              <w:rPr>
                <w:color w:val="000000"/>
                <w:szCs w:val="22"/>
                <w:lang w:val="en-US" w:eastAsia="zh-CN"/>
              </w:rPr>
              <w:t xml:space="preserve">Kit </w:t>
            </w:r>
            <w:r w:rsidRPr="0026134B">
              <w:rPr>
                <w:color w:val="000000"/>
                <w:szCs w:val="22"/>
                <w:lang w:val="el-GR" w:eastAsia="zh-CN"/>
              </w:rPr>
              <w:t>για</w:t>
            </w:r>
            <w:r w:rsidRPr="00595237">
              <w:rPr>
                <w:color w:val="000000"/>
                <w:szCs w:val="22"/>
                <w:lang w:val="en-US" w:eastAsia="zh-CN"/>
              </w:rPr>
              <w:t xml:space="preserve"> </w:t>
            </w:r>
            <w:r w:rsidRPr="0026134B">
              <w:rPr>
                <w:color w:val="000000"/>
                <w:szCs w:val="22"/>
                <w:lang w:val="el-GR" w:eastAsia="zh-CN"/>
              </w:rPr>
              <w:t>σύνθεση</w:t>
            </w:r>
            <w:r w:rsidRPr="00595237">
              <w:rPr>
                <w:color w:val="000000"/>
                <w:szCs w:val="22"/>
                <w:lang w:val="en-US" w:eastAsia="zh-CN"/>
              </w:rPr>
              <w:t xml:space="preserve"> cDNA </w:t>
            </w:r>
            <w:r w:rsidRPr="0026134B">
              <w:rPr>
                <w:color w:val="000000"/>
                <w:szCs w:val="22"/>
                <w:lang w:val="el-GR" w:eastAsia="zh-CN"/>
              </w:rPr>
              <w:t>με</w:t>
            </w:r>
            <w:r w:rsidRPr="00595237">
              <w:rPr>
                <w:color w:val="000000"/>
                <w:szCs w:val="22"/>
                <w:lang w:val="en-US" w:eastAsia="zh-CN"/>
              </w:rPr>
              <w:t xml:space="preserve"> gDNA Eraser </w:t>
            </w:r>
            <w:r w:rsidRPr="0026134B">
              <w:rPr>
                <w:color w:val="000000"/>
                <w:szCs w:val="22"/>
                <w:lang w:val="el-GR" w:eastAsia="zh-CN"/>
              </w:rPr>
              <w:t>για</w:t>
            </w:r>
            <w:r w:rsidRPr="00595237">
              <w:rPr>
                <w:color w:val="000000"/>
                <w:szCs w:val="22"/>
                <w:lang w:val="en-US" w:eastAsia="zh-CN"/>
              </w:rPr>
              <w:t xml:space="preserve"> Real Time PCR. </w:t>
            </w:r>
            <w:r w:rsidRPr="0026134B">
              <w:rPr>
                <w:color w:val="000000"/>
                <w:szCs w:val="22"/>
                <w:lang w:val="el-GR" w:eastAsia="zh-CN"/>
              </w:rPr>
              <w:t>Να είναι κατάλληλο για αρχική ποσότητα RNA τουλάχιστον 1 μg. Να είναι κατάλληλο για δείγματα πλούσια σε GC περιοχές και δευτερογενείς δομές. Ο χρόνος αντίδρασης να είναι κάτω από 20 λεπτά. Να περιέχει gDNA Eraser ώστε να απομακρύνει τυχόν προσμείξεις με γενωμικό DNA σε 2 λεπτά. Το Kit να περιλαμβάνει: Αντίστροφη μεταγραφάση gDNA Eraser, 5 x gDNA Erase Buffer, 5 x PrimeScript Buffer, Oligo dT Primer και Random 6 mers σε ξεχωριστά σωληνάρια, Rnase free H2O, διάλυμα αραίωσης για real time PCR. Να είναι σε συσκευασία για 100 αντιδράσεις.</w:t>
            </w:r>
          </w:p>
        </w:tc>
        <w:tc>
          <w:tcPr>
            <w:tcW w:w="575" w:type="pct"/>
            <w:shd w:val="clear" w:color="auto" w:fill="FFFFFF"/>
          </w:tcPr>
          <w:p w:rsidR="00781733" w:rsidRPr="00595237" w:rsidRDefault="00781733" w:rsidP="005B3E1F">
            <w:pPr>
              <w:suppressAutoHyphens w:val="0"/>
              <w:spacing w:after="0"/>
              <w:jc w:val="center"/>
              <w:rPr>
                <w:color w:val="000000"/>
                <w:szCs w:val="22"/>
                <w:lang w:val="en-US" w:eastAsia="zh-CN"/>
              </w:rPr>
            </w:pPr>
          </w:p>
        </w:tc>
        <w:tc>
          <w:tcPr>
            <w:tcW w:w="647" w:type="pct"/>
            <w:shd w:val="clear" w:color="auto" w:fill="FFFFFF"/>
          </w:tcPr>
          <w:p w:rsidR="00781733" w:rsidRPr="00595237" w:rsidRDefault="00781733" w:rsidP="005B3E1F">
            <w:pPr>
              <w:suppressAutoHyphens w:val="0"/>
              <w:spacing w:after="0"/>
              <w:jc w:val="center"/>
              <w:rPr>
                <w:color w:val="000000"/>
                <w:szCs w:val="22"/>
                <w:lang w:val="en-US" w:eastAsia="zh-CN"/>
              </w:rPr>
            </w:pPr>
          </w:p>
        </w:tc>
        <w:tc>
          <w:tcPr>
            <w:tcW w:w="990" w:type="pct"/>
            <w:shd w:val="clear" w:color="auto" w:fill="FFFFFF"/>
          </w:tcPr>
          <w:p w:rsidR="00781733" w:rsidRPr="00595237" w:rsidRDefault="00781733" w:rsidP="005B3E1F">
            <w:pPr>
              <w:suppressAutoHyphens w:val="0"/>
              <w:spacing w:after="0"/>
              <w:jc w:val="center"/>
              <w:rPr>
                <w:color w:val="000000"/>
                <w:szCs w:val="22"/>
                <w:lang w:val="en-US" w:eastAsia="zh-CN"/>
              </w:rPr>
            </w:pPr>
          </w:p>
        </w:tc>
      </w:tr>
      <w:tr w:rsidR="00781733" w:rsidRPr="0026134B" w:rsidTr="005B3E1F">
        <w:trPr>
          <w:trHeight w:val="4516"/>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7</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n-US" w:eastAsia="en-US"/>
              </w:rPr>
            </w:pPr>
            <w:r w:rsidRPr="0026134B">
              <w:rPr>
                <w:color w:val="000000"/>
                <w:szCs w:val="22"/>
                <w:lang w:val="el-GR" w:eastAsia="zh-CN"/>
              </w:rPr>
              <w:t>Κιτ για ταυτόχρονη απομόνωση γενομικού DNA, RNA και πρωτεΐνης  από το ίδιο αρχικό  δείγμα χωρίς να απαιτείται διαίρεση του δείγματος. Να χρησιμοποιεί τεχνολογία Silica Membrane με spin columns. Να παρέχει DNA με τυπική απόδοση έως και 10 μg. Να παρέχει RNA με τυπική απόδοση έως και 200 μg. Υψηλή απόδοση πρωτεΐνης ανεξάρτητα από το μέγεθος της  τον εντοπισμό της και  τυχόν τροποποιήσεων της. Να παρέχει DNA και RNA έτοιμο προς χρήση, κατάλληλο για μεταγενέστερες εφαρμογές. Να παρέχει πρωτεΐνες έτοιμες για χρήση για SDS-PAGE/Western Blotting. Να</w:t>
            </w:r>
            <w:r w:rsidRPr="0026134B">
              <w:rPr>
                <w:color w:val="000000"/>
                <w:szCs w:val="22"/>
                <w:lang w:val="en-US" w:eastAsia="zh-CN"/>
              </w:rPr>
              <w:t xml:space="preserve"> </w:t>
            </w:r>
            <w:r w:rsidRPr="0026134B">
              <w:rPr>
                <w:color w:val="000000"/>
                <w:szCs w:val="22"/>
                <w:lang w:val="el-GR" w:eastAsia="zh-CN"/>
              </w:rPr>
              <w:t>περιλαμβάνει</w:t>
            </w:r>
            <w:r w:rsidRPr="0026134B">
              <w:rPr>
                <w:color w:val="000000"/>
                <w:szCs w:val="22"/>
                <w:lang w:val="en-US" w:eastAsia="zh-CN"/>
              </w:rPr>
              <w:t xml:space="preserve"> Triprep </w:t>
            </w:r>
            <w:r w:rsidRPr="0026134B">
              <w:rPr>
                <w:color w:val="000000"/>
                <w:szCs w:val="22"/>
                <w:lang w:val="el-GR" w:eastAsia="zh-CN"/>
              </w:rPr>
              <w:t>κολόνες</w:t>
            </w:r>
            <w:r w:rsidRPr="0026134B">
              <w:rPr>
                <w:color w:val="000000"/>
                <w:szCs w:val="22"/>
                <w:lang w:val="en-US" w:eastAsia="zh-CN"/>
              </w:rPr>
              <w:t xml:space="preserve">, collection tubes, </w:t>
            </w:r>
            <w:r w:rsidRPr="0026134B">
              <w:rPr>
                <w:color w:val="000000"/>
                <w:szCs w:val="22"/>
                <w:lang w:val="el-GR" w:eastAsia="zh-CN"/>
              </w:rPr>
              <w:t>Φίλτρα</w:t>
            </w:r>
            <w:r w:rsidRPr="0026134B">
              <w:rPr>
                <w:color w:val="000000"/>
                <w:szCs w:val="22"/>
                <w:lang w:val="en-US" w:eastAsia="zh-CN"/>
              </w:rPr>
              <w:t xml:space="preserve"> (Shredders) , buffers, RNase-free rDNase, Protein Solving buffer. </w:t>
            </w:r>
            <w:r w:rsidRPr="0026134B">
              <w:rPr>
                <w:color w:val="000000"/>
                <w:szCs w:val="22"/>
                <w:lang w:val="el-GR" w:eastAsia="zh-CN"/>
              </w:rPr>
              <w:t>Να επαρκεί για 50 απομονώσεις.</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2695"/>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8</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l-GR" w:eastAsia="en-US"/>
              </w:rPr>
            </w:pPr>
            <w:r w:rsidRPr="0026134B">
              <w:rPr>
                <w:color w:val="000000"/>
                <w:szCs w:val="22"/>
                <w:lang w:val="el-GR" w:eastAsia="zh-CN"/>
              </w:rPr>
              <w:t>Σύνθεση ολιγονουκλεοτιδίων - εκκινητών, σε ποσότητα 50nmol, καθαρισμένα με HPLC. Η απόδοση σε OD260 να είναι περίπου 6. Να αποστέλλονται λυοφιλοποιημένα ή σε aliquots προκαθορισμένης συγκέντρωσης. Η ποιότητα και η ταυτότητα του κάθε ολιγονουκλεοτιδίου να ελέγχεται με MALDI-TOF MS και με capillary gel electrophoresis (CGE). Να αποστέλλονται εντός 4-5 εργάσιμων ημερών. Να δίνεται τιμή ανά βάση.</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26134B" w:rsidTr="005B3E1F">
        <w:trPr>
          <w:trHeight w:val="1985"/>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9</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l-GR" w:eastAsia="en-US"/>
              </w:rPr>
            </w:pPr>
            <w:r w:rsidRPr="0026134B">
              <w:rPr>
                <w:color w:val="000000"/>
                <w:szCs w:val="22"/>
                <w:lang w:val="el-GR" w:eastAsia="zh-CN"/>
              </w:rPr>
              <w:t xml:space="preserve">100bp δείκτης μοριακών βαρών DNA. Να περιέχει 12 ζώνες και να  καλύπτει την περιοχή 100 – 3000bp. Να περιλαμβάνει 2 έντονες ζώνες αναφοράς στα 500bp και 1500bp. Να είναι έτοιμος προς χρήση για απευθείας φόρτωση στα gels. Να περιέχει δύο χρωστικές orange G &amp; xylene cyanol FF </w:t>
            </w:r>
            <w:r w:rsidRPr="0026134B">
              <w:rPr>
                <w:color w:val="000000"/>
                <w:szCs w:val="22"/>
                <w:lang w:val="el-GR" w:eastAsia="zh-CN"/>
              </w:rPr>
              <w:lastRenderedPageBreak/>
              <w:t>ως χρωστικές παρακολούθησης (tracking dyes). Να επαρκεί για 100 minigels.</w:t>
            </w:r>
          </w:p>
        </w:tc>
        <w:tc>
          <w:tcPr>
            <w:tcW w:w="575"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647" w:type="pct"/>
            <w:shd w:val="clear" w:color="auto" w:fill="FFFFFF"/>
          </w:tcPr>
          <w:p w:rsidR="00781733" w:rsidRPr="0026134B" w:rsidRDefault="00781733" w:rsidP="005B3E1F">
            <w:pPr>
              <w:suppressAutoHyphens w:val="0"/>
              <w:spacing w:after="0"/>
              <w:jc w:val="center"/>
              <w:rPr>
                <w:color w:val="000000"/>
                <w:szCs w:val="22"/>
                <w:lang w:val="el-GR" w:eastAsia="zh-CN"/>
              </w:rPr>
            </w:pPr>
          </w:p>
        </w:tc>
        <w:tc>
          <w:tcPr>
            <w:tcW w:w="990" w:type="pct"/>
            <w:shd w:val="clear" w:color="auto" w:fill="FFFFFF"/>
          </w:tcPr>
          <w:p w:rsidR="00781733" w:rsidRPr="0026134B" w:rsidRDefault="00781733" w:rsidP="005B3E1F">
            <w:pPr>
              <w:suppressAutoHyphens w:val="0"/>
              <w:spacing w:after="0"/>
              <w:jc w:val="center"/>
              <w:rPr>
                <w:color w:val="000000"/>
                <w:szCs w:val="22"/>
                <w:lang w:val="el-GR" w:eastAsia="zh-CN"/>
              </w:rPr>
            </w:pPr>
          </w:p>
        </w:tc>
      </w:tr>
      <w:tr w:rsidR="00781733" w:rsidRPr="006301DF" w:rsidTr="005B3E1F">
        <w:trPr>
          <w:trHeight w:val="854"/>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lastRenderedPageBreak/>
              <w:t>10</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n-US" w:eastAsia="en-US"/>
              </w:rPr>
            </w:pPr>
            <w:r w:rsidRPr="0026134B">
              <w:rPr>
                <w:rFonts w:ascii="Arial" w:hAnsi="Arial" w:cs="Arial"/>
                <w:sz w:val="20"/>
                <w:szCs w:val="20"/>
                <w:lang w:val="en-US" w:eastAsia="en-US"/>
              </w:rPr>
              <w:t>JBScreen PEG/Salt 1 – 4</w:t>
            </w:r>
          </w:p>
          <w:p w:rsidR="00781733" w:rsidRPr="0026134B" w:rsidRDefault="00781733" w:rsidP="005B3E1F">
            <w:pPr>
              <w:suppressAutoHyphens w:val="0"/>
              <w:spacing w:after="0"/>
              <w:jc w:val="center"/>
              <w:rPr>
                <w:rFonts w:ascii="Arial" w:hAnsi="Arial" w:cs="Arial"/>
                <w:sz w:val="20"/>
                <w:szCs w:val="20"/>
                <w:lang w:val="en-US" w:eastAsia="en-US"/>
              </w:rPr>
            </w:pPr>
            <w:r w:rsidRPr="0026134B">
              <w:rPr>
                <w:rFonts w:ascii="Arial" w:hAnsi="Arial" w:cs="Arial"/>
                <w:sz w:val="20"/>
                <w:szCs w:val="20"/>
                <w:lang w:val="el-GR" w:eastAsia="en-US"/>
              </w:rPr>
              <w:t>Ή</w:t>
            </w:r>
            <w:r w:rsidRPr="0026134B">
              <w:rPr>
                <w:rFonts w:ascii="Arial" w:hAnsi="Arial" w:cs="Arial"/>
                <w:sz w:val="20"/>
                <w:szCs w:val="20"/>
                <w:lang w:val="en-US" w:eastAsia="en-US"/>
              </w:rPr>
              <w:t xml:space="preserve"> </w:t>
            </w:r>
            <w:r w:rsidRPr="0026134B">
              <w:rPr>
                <w:rFonts w:ascii="Arial" w:hAnsi="Arial" w:cs="Arial"/>
                <w:sz w:val="20"/>
                <w:szCs w:val="20"/>
                <w:lang w:val="el-GR" w:eastAsia="en-US"/>
              </w:rPr>
              <w:t>ισοδύναμο</w:t>
            </w:r>
          </w:p>
        </w:tc>
        <w:tc>
          <w:tcPr>
            <w:tcW w:w="575"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c>
          <w:tcPr>
            <w:tcW w:w="647"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c>
          <w:tcPr>
            <w:tcW w:w="990"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r>
      <w:tr w:rsidR="00781733" w:rsidRPr="0026134B" w:rsidTr="005B3E1F">
        <w:trPr>
          <w:trHeight w:val="716"/>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11</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n-US" w:eastAsia="en-US"/>
              </w:rPr>
            </w:pPr>
            <w:r w:rsidRPr="0026134B">
              <w:rPr>
                <w:rFonts w:ascii="Arial" w:hAnsi="Arial" w:cs="Arial"/>
                <w:sz w:val="20"/>
                <w:szCs w:val="20"/>
                <w:lang w:val="en-US" w:eastAsia="en-US"/>
              </w:rPr>
              <w:t>JBScreen JCSG++ 1 – 4</w:t>
            </w:r>
          </w:p>
          <w:p w:rsidR="00781733" w:rsidRPr="0026134B" w:rsidRDefault="00781733" w:rsidP="005B3E1F">
            <w:pPr>
              <w:suppressAutoHyphens w:val="0"/>
              <w:spacing w:after="0"/>
              <w:jc w:val="center"/>
              <w:rPr>
                <w:rFonts w:ascii="Arial" w:hAnsi="Arial" w:cs="Arial"/>
                <w:bCs/>
                <w:sz w:val="20"/>
                <w:szCs w:val="20"/>
                <w:lang w:val="en-US" w:eastAsia="en-US"/>
              </w:rPr>
            </w:pPr>
            <w:r w:rsidRPr="0026134B">
              <w:rPr>
                <w:rFonts w:ascii="Arial" w:hAnsi="Arial" w:cs="Arial"/>
                <w:sz w:val="20"/>
                <w:szCs w:val="20"/>
                <w:lang w:val="el-GR" w:eastAsia="en-US"/>
              </w:rPr>
              <w:t>Ή</w:t>
            </w:r>
            <w:r w:rsidRPr="0026134B">
              <w:rPr>
                <w:rFonts w:ascii="Arial" w:hAnsi="Arial" w:cs="Arial"/>
                <w:sz w:val="20"/>
                <w:szCs w:val="20"/>
                <w:lang w:val="en-US" w:eastAsia="en-US"/>
              </w:rPr>
              <w:t xml:space="preserve"> </w:t>
            </w:r>
            <w:r w:rsidRPr="0026134B">
              <w:rPr>
                <w:rFonts w:ascii="Arial" w:hAnsi="Arial" w:cs="Arial"/>
                <w:sz w:val="20"/>
                <w:szCs w:val="20"/>
                <w:lang w:val="el-GR" w:eastAsia="en-US"/>
              </w:rPr>
              <w:t>ισοδύναμο</w:t>
            </w:r>
          </w:p>
        </w:tc>
        <w:tc>
          <w:tcPr>
            <w:tcW w:w="575"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c>
          <w:tcPr>
            <w:tcW w:w="647"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c>
          <w:tcPr>
            <w:tcW w:w="990"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r>
      <w:tr w:rsidR="00781733" w:rsidRPr="0026134B" w:rsidTr="005B3E1F">
        <w:trPr>
          <w:trHeight w:val="841"/>
        </w:trPr>
        <w:tc>
          <w:tcPr>
            <w:tcW w:w="353" w:type="pct"/>
            <w:shd w:val="clear" w:color="auto" w:fill="FFFFFF"/>
            <w:vAlign w:val="center"/>
            <w:hideMark/>
          </w:tcPr>
          <w:p w:rsidR="00781733" w:rsidRPr="0026134B" w:rsidRDefault="00781733" w:rsidP="005B3E1F">
            <w:pPr>
              <w:suppressAutoHyphens w:val="0"/>
              <w:spacing w:after="0"/>
              <w:jc w:val="center"/>
              <w:rPr>
                <w:rFonts w:ascii="Arial" w:hAnsi="Arial" w:cs="Arial"/>
                <w:sz w:val="24"/>
                <w:lang w:val="en-US" w:eastAsia="en-US"/>
              </w:rPr>
            </w:pPr>
            <w:r w:rsidRPr="0026134B">
              <w:rPr>
                <w:rFonts w:ascii="Arial" w:hAnsi="Arial" w:cs="Arial"/>
                <w:sz w:val="24"/>
                <w:lang w:val="en-US" w:eastAsia="en-US"/>
              </w:rPr>
              <w:t>12</w:t>
            </w:r>
          </w:p>
        </w:tc>
        <w:tc>
          <w:tcPr>
            <w:tcW w:w="2435" w:type="pct"/>
            <w:shd w:val="clear" w:color="auto" w:fill="FFFFFF"/>
            <w:vAlign w:val="center"/>
          </w:tcPr>
          <w:p w:rsidR="00781733" w:rsidRPr="0026134B" w:rsidRDefault="00781733" w:rsidP="005B3E1F">
            <w:pPr>
              <w:suppressAutoHyphens w:val="0"/>
              <w:spacing w:after="0"/>
              <w:jc w:val="center"/>
              <w:rPr>
                <w:rFonts w:ascii="Arial" w:hAnsi="Arial" w:cs="Arial"/>
                <w:sz w:val="20"/>
                <w:szCs w:val="20"/>
                <w:lang w:val="en-US" w:eastAsia="en-US"/>
              </w:rPr>
            </w:pPr>
            <w:r w:rsidRPr="0026134B">
              <w:rPr>
                <w:rFonts w:ascii="Arial" w:hAnsi="Arial" w:cs="Arial"/>
                <w:sz w:val="20"/>
                <w:szCs w:val="20"/>
                <w:lang w:val="en-US" w:eastAsia="en-US"/>
              </w:rPr>
              <w:t>JBScreen PACT++ 1 – 4</w:t>
            </w:r>
          </w:p>
          <w:p w:rsidR="00781733" w:rsidRPr="0026134B" w:rsidRDefault="00781733" w:rsidP="005B3E1F">
            <w:pPr>
              <w:suppressAutoHyphens w:val="0"/>
              <w:spacing w:after="0"/>
              <w:jc w:val="center"/>
              <w:rPr>
                <w:rFonts w:ascii="Arial" w:hAnsi="Arial" w:cs="Arial"/>
                <w:sz w:val="20"/>
                <w:szCs w:val="20"/>
                <w:lang w:val="en-US" w:eastAsia="en-US"/>
              </w:rPr>
            </w:pPr>
            <w:r w:rsidRPr="0026134B">
              <w:rPr>
                <w:rFonts w:ascii="Arial" w:hAnsi="Arial" w:cs="Arial"/>
                <w:sz w:val="20"/>
                <w:szCs w:val="20"/>
                <w:lang w:val="el-GR" w:eastAsia="en-US"/>
              </w:rPr>
              <w:t>Ή</w:t>
            </w:r>
            <w:r w:rsidRPr="0026134B">
              <w:rPr>
                <w:rFonts w:ascii="Arial" w:hAnsi="Arial" w:cs="Arial"/>
                <w:sz w:val="20"/>
                <w:szCs w:val="20"/>
                <w:lang w:val="en-US" w:eastAsia="en-US"/>
              </w:rPr>
              <w:t xml:space="preserve"> </w:t>
            </w:r>
            <w:r w:rsidRPr="0026134B">
              <w:rPr>
                <w:rFonts w:ascii="Arial" w:hAnsi="Arial" w:cs="Arial"/>
                <w:sz w:val="20"/>
                <w:szCs w:val="20"/>
                <w:lang w:val="el-GR" w:eastAsia="en-US"/>
              </w:rPr>
              <w:t>ισοδύναμο</w:t>
            </w:r>
          </w:p>
        </w:tc>
        <w:tc>
          <w:tcPr>
            <w:tcW w:w="575"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c>
          <w:tcPr>
            <w:tcW w:w="647"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c>
          <w:tcPr>
            <w:tcW w:w="990" w:type="pct"/>
            <w:shd w:val="clear" w:color="auto" w:fill="FFFFFF"/>
          </w:tcPr>
          <w:p w:rsidR="00781733" w:rsidRPr="0026134B" w:rsidRDefault="00781733" w:rsidP="005B3E1F">
            <w:pPr>
              <w:suppressAutoHyphens w:val="0"/>
              <w:spacing w:after="0"/>
              <w:jc w:val="center"/>
              <w:rPr>
                <w:rFonts w:ascii="Arial" w:hAnsi="Arial" w:cs="Arial"/>
                <w:sz w:val="20"/>
                <w:szCs w:val="20"/>
                <w:lang w:val="en-US" w:eastAsia="en-US"/>
              </w:rPr>
            </w:pPr>
          </w:p>
        </w:tc>
      </w:tr>
    </w:tbl>
    <w:p w:rsidR="00781733" w:rsidRDefault="00781733" w:rsidP="00781733">
      <w:pPr>
        <w:suppressAutoHyphens w:val="0"/>
        <w:autoSpaceDE w:val="0"/>
        <w:rPr>
          <w:rFonts w:eastAsia="SimSun"/>
          <w:sz w:val="24"/>
          <w:lang w:val="el-GR"/>
        </w:rPr>
      </w:pPr>
    </w:p>
    <w:p w:rsidR="00781733" w:rsidRPr="001F15CF" w:rsidRDefault="00781733" w:rsidP="00781733">
      <w:pPr>
        <w:suppressAutoHyphens w:val="0"/>
        <w:autoSpaceDE w:val="0"/>
        <w:rPr>
          <w:rFonts w:eastAsia="SimSun"/>
          <w:sz w:val="24"/>
          <w:lang w:val="el-GR"/>
        </w:rPr>
      </w:pPr>
    </w:p>
    <w:p w:rsidR="00781733" w:rsidRPr="001F15CF" w:rsidRDefault="00781733" w:rsidP="00781733">
      <w:pPr>
        <w:suppressAutoHyphens w:val="0"/>
        <w:autoSpaceDE w:val="0"/>
        <w:rPr>
          <w:rFonts w:eastAsia="SimSun"/>
          <w:sz w:val="24"/>
          <w:lang w:val="el-GR"/>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410"/>
        <w:gridCol w:w="1038"/>
        <w:gridCol w:w="1168"/>
        <w:gridCol w:w="1686"/>
      </w:tblGrid>
      <w:tr w:rsidR="00781733" w:rsidRPr="00DA2297" w:rsidTr="005B3E1F">
        <w:trPr>
          <w:trHeight w:val="591"/>
        </w:trPr>
        <w:tc>
          <w:tcPr>
            <w:tcW w:w="5000" w:type="pct"/>
            <w:gridSpan w:val="5"/>
            <w:shd w:val="clear" w:color="auto" w:fill="auto"/>
            <w:noWrap/>
          </w:tcPr>
          <w:p w:rsidR="00781733" w:rsidRPr="00DA2297" w:rsidRDefault="00781733" w:rsidP="005B3E1F">
            <w:pPr>
              <w:suppressAutoHyphens w:val="0"/>
              <w:spacing w:after="0"/>
              <w:jc w:val="center"/>
              <w:rPr>
                <w:rFonts w:eastAsia="Calibri" w:cs="Times New Roman"/>
                <w:b/>
                <w:bCs/>
                <w:szCs w:val="22"/>
                <w:lang w:val="el-GR" w:eastAsia="en-US"/>
              </w:rPr>
            </w:pPr>
            <w:r w:rsidRPr="00DA2297">
              <w:rPr>
                <w:rFonts w:eastAsia="Calibri" w:cs="Times New Roman"/>
                <w:b/>
                <w:bCs/>
                <w:szCs w:val="22"/>
                <w:lang w:val="el-GR" w:eastAsia="en-US"/>
              </w:rPr>
              <w:t>ΟΜΑΔΑ 3</w:t>
            </w:r>
          </w:p>
          <w:p w:rsidR="00781733" w:rsidRPr="00DA2297" w:rsidRDefault="00781733" w:rsidP="005B3E1F">
            <w:pPr>
              <w:suppressAutoHyphens w:val="0"/>
              <w:spacing w:after="0"/>
              <w:jc w:val="center"/>
              <w:rPr>
                <w:rFonts w:eastAsia="Calibri" w:cs="Times New Roman"/>
                <w:b/>
                <w:bCs/>
                <w:szCs w:val="22"/>
                <w:lang w:val="el-GR" w:eastAsia="en-US"/>
              </w:rPr>
            </w:pPr>
            <w:r w:rsidRPr="00DA2297">
              <w:rPr>
                <w:rFonts w:eastAsia="Calibri" w:cs="Times New Roman"/>
                <w:b/>
                <w:bCs/>
                <w:szCs w:val="22"/>
                <w:lang w:val="el-GR" w:eastAsia="en-US"/>
              </w:rPr>
              <w:t xml:space="preserve">Δεχόμαστε προσφορές για το σύνολο των προϊόντων της ομάδας </w:t>
            </w:r>
          </w:p>
        </w:tc>
      </w:tr>
      <w:tr w:rsidR="00781733" w:rsidRPr="00DA2297" w:rsidTr="005B3E1F">
        <w:trPr>
          <w:trHeight w:val="591"/>
        </w:trPr>
        <w:tc>
          <w:tcPr>
            <w:tcW w:w="346" w:type="pct"/>
            <w:shd w:val="clear" w:color="auto" w:fill="auto"/>
            <w:noWrap/>
          </w:tcPr>
          <w:p w:rsidR="00781733" w:rsidRPr="00DA2297" w:rsidRDefault="00781733" w:rsidP="005B3E1F">
            <w:pPr>
              <w:suppressAutoHyphens w:val="0"/>
              <w:spacing w:after="0"/>
              <w:jc w:val="center"/>
              <w:rPr>
                <w:rFonts w:cs="Arial"/>
                <w:b/>
                <w:bCs/>
                <w:szCs w:val="22"/>
                <w:lang w:val="el-GR" w:eastAsia="en-US"/>
              </w:rPr>
            </w:pPr>
            <w:r w:rsidRPr="00DA2297">
              <w:rPr>
                <w:rFonts w:cs="Arial"/>
                <w:b/>
                <w:bCs/>
                <w:szCs w:val="22"/>
                <w:lang w:val="en-US" w:eastAsia="en-US"/>
              </w:rPr>
              <w:t>A/A </w:t>
            </w:r>
          </w:p>
        </w:tc>
        <w:tc>
          <w:tcPr>
            <w:tcW w:w="2472" w:type="pct"/>
            <w:shd w:val="clear" w:color="auto" w:fill="auto"/>
          </w:tcPr>
          <w:p w:rsidR="00781733" w:rsidRPr="00DA2297" w:rsidRDefault="00781733" w:rsidP="005B3E1F">
            <w:pPr>
              <w:suppressAutoHyphens w:val="0"/>
              <w:spacing w:after="0"/>
              <w:jc w:val="center"/>
              <w:rPr>
                <w:rFonts w:cs="Arial"/>
                <w:b/>
                <w:bCs/>
                <w:szCs w:val="22"/>
                <w:lang w:val="en-US" w:eastAsia="en-US"/>
              </w:rPr>
            </w:pPr>
            <w:r w:rsidRPr="00DA2297">
              <w:rPr>
                <w:rFonts w:cs="Arial"/>
                <w:b/>
                <w:bCs/>
                <w:szCs w:val="22"/>
                <w:lang w:val="en-US" w:eastAsia="en-US"/>
              </w:rPr>
              <w:t>Τεχνικές Προδιαγραφές</w:t>
            </w:r>
          </w:p>
        </w:tc>
        <w:tc>
          <w:tcPr>
            <w:tcW w:w="582" w:type="pct"/>
          </w:tcPr>
          <w:p w:rsidR="00781733" w:rsidRPr="00DA2297" w:rsidRDefault="00781733" w:rsidP="005B3E1F">
            <w:pPr>
              <w:suppressAutoHyphens w:val="0"/>
              <w:spacing w:after="0"/>
              <w:jc w:val="center"/>
              <w:rPr>
                <w:rFonts w:cs="Arial"/>
                <w:b/>
                <w:bCs/>
                <w:szCs w:val="22"/>
                <w:lang w:val="en-US" w:eastAsia="en-US"/>
              </w:rPr>
            </w:pPr>
          </w:p>
          <w:p w:rsidR="00781733" w:rsidRPr="00DA2297" w:rsidRDefault="00781733" w:rsidP="005B3E1F">
            <w:pPr>
              <w:suppressAutoHyphens w:val="0"/>
              <w:spacing w:after="0"/>
              <w:jc w:val="center"/>
              <w:rPr>
                <w:rFonts w:cs="Arial"/>
                <w:b/>
                <w:bCs/>
                <w:szCs w:val="22"/>
                <w:lang w:val="el-GR" w:eastAsia="en-US"/>
              </w:rPr>
            </w:pPr>
            <w:r w:rsidRPr="00DA2297">
              <w:rPr>
                <w:rFonts w:cs="Arial"/>
                <w:b/>
                <w:bCs/>
                <w:szCs w:val="22"/>
                <w:lang w:val="el-GR" w:eastAsia="en-US"/>
              </w:rPr>
              <w:t>ΝΑΙ</w:t>
            </w:r>
          </w:p>
        </w:tc>
        <w:tc>
          <w:tcPr>
            <w:tcW w:w="655" w:type="pct"/>
          </w:tcPr>
          <w:p w:rsidR="00781733" w:rsidRPr="00DA2297" w:rsidRDefault="00781733" w:rsidP="005B3E1F">
            <w:pPr>
              <w:suppressAutoHyphens w:val="0"/>
              <w:spacing w:after="0"/>
              <w:jc w:val="center"/>
              <w:rPr>
                <w:rFonts w:cs="Arial"/>
                <w:b/>
                <w:bCs/>
                <w:szCs w:val="22"/>
                <w:lang w:val="en-US" w:eastAsia="en-US"/>
              </w:rPr>
            </w:pPr>
          </w:p>
          <w:p w:rsidR="00781733" w:rsidRPr="00DA2297" w:rsidRDefault="00781733" w:rsidP="005B3E1F">
            <w:pPr>
              <w:suppressAutoHyphens w:val="0"/>
              <w:spacing w:after="0"/>
              <w:jc w:val="center"/>
              <w:rPr>
                <w:rFonts w:cs="Arial"/>
                <w:b/>
                <w:bCs/>
                <w:szCs w:val="22"/>
                <w:lang w:val="el-GR" w:eastAsia="en-US"/>
              </w:rPr>
            </w:pPr>
            <w:r w:rsidRPr="00DA2297">
              <w:rPr>
                <w:rFonts w:cs="Arial"/>
                <w:b/>
                <w:bCs/>
                <w:szCs w:val="22"/>
                <w:lang w:val="el-GR" w:eastAsia="en-US"/>
              </w:rPr>
              <w:t>ΟΧΙ</w:t>
            </w:r>
          </w:p>
        </w:tc>
        <w:tc>
          <w:tcPr>
            <w:tcW w:w="945" w:type="pct"/>
          </w:tcPr>
          <w:p w:rsidR="00781733" w:rsidRPr="00DA2297" w:rsidRDefault="00781733" w:rsidP="005B3E1F">
            <w:pPr>
              <w:suppressAutoHyphens w:val="0"/>
              <w:spacing w:after="0"/>
              <w:jc w:val="center"/>
              <w:rPr>
                <w:rFonts w:cs="Arial"/>
                <w:b/>
                <w:bCs/>
                <w:szCs w:val="22"/>
                <w:lang w:val="en-US" w:eastAsia="en-US"/>
              </w:rPr>
            </w:pPr>
          </w:p>
          <w:p w:rsidR="00781733" w:rsidRPr="00DA2297" w:rsidRDefault="00781733" w:rsidP="005B3E1F">
            <w:pPr>
              <w:suppressAutoHyphens w:val="0"/>
              <w:spacing w:after="0"/>
              <w:jc w:val="center"/>
              <w:rPr>
                <w:rFonts w:cs="Arial"/>
                <w:b/>
                <w:bCs/>
                <w:szCs w:val="22"/>
                <w:lang w:val="el-GR" w:eastAsia="en-US"/>
              </w:rPr>
            </w:pPr>
            <w:r w:rsidRPr="00DA2297">
              <w:rPr>
                <w:rFonts w:cs="Arial"/>
                <w:b/>
                <w:bCs/>
                <w:szCs w:val="22"/>
                <w:lang w:val="el-GR" w:eastAsia="en-US"/>
              </w:rPr>
              <w:t>ΠΑΡΑΠΟΜΠΗ</w:t>
            </w:r>
          </w:p>
        </w:tc>
      </w:tr>
      <w:tr w:rsidR="00781733" w:rsidRPr="00DA2297" w:rsidTr="005B3E1F">
        <w:trPr>
          <w:trHeight w:val="745"/>
        </w:trPr>
        <w:tc>
          <w:tcPr>
            <w:tcW w:w="346" w:type="pct"/>
            <w:shd w:val="clear" w:color="auto" w:fill="auto"/>
            <w:noWrap/>
            <w:hideMark/>
          </w:tcPr>
          <w:p w:rsidR="00781733" w:rsidRPr="00DA2297" w:rsidRDefault="00781733" w:rsidP="005B3E1F">
            <w:pPr>
              <w:suppressAutoHyphens w:val="0"/>
              <w:spacing w:after="0"/>
              <w:jc w:val="center"/>
              <w:rPr>
                <w:rFonts w:cs="Arial"/>
                <w:szCs w:val="22"/>
                <w:lang w:val="en-US" w:eastAsia="en-US"/>
              </w:rPr>
            </w:pPr>
            <w:r w:rsidRPr="00DA2297">
              <w:rPr>
                <w:rFonts w:cs="Arial"/>
                <w:szCs w:val="22"/>
                <w:lang w:val="en-US" w:eastAsia="en-US"/>
              </w:rPr>
              <w:t>1</w:t>
            </w:r>
          </w:p>
        </w:tc>
        <w:tc>
          <w:tcPr>
            <w:tcW w:w="2472" w:type="pct"/>
            <w:shd w:val="clear" w:color="auto" w:fill="auto"/>
          </w:tcPr>
          <w:p w:rsidR="00781733" w:rsidRPr="00DA2297" w:rsidRDefault="00781733" w:rsidP="005B3E1F">
            <w:pPr>
              <w:suppressAutoHyphens w:val="0"/>
              <w:spacing w:after="0"/>
              <w:jc w:val="center"/>
              <w:rPr>
                <w:rFonts w:cs="Arial"/>
                <w:color w:val="000000"/>
                <w:szCs w:val="22"/>
                <w:lang w:val="en-US" w:eastAsia="en-US"/>
              </w:rPr>
            </w:pPr>
            <w:r w:rsidRPr="00DA2297">
              <w:rPr>
                <w:rFonts w:cs="Arial"/>
                <w:szCs w:val="22"/>
                <w:lang w:val="el-GR" w:eastAsia="en-US"/>
              </w:rPr>
              <w:t>Μεμβράνες</w:t>
            </w:r>
            <w:r w:rsidRPr="00DA2297">
              <w:rPr>
                <w:rFonts w:cs="Arial"/>
                <w:szCs w:val="22"/>
                <w:lang w:val="en-US" w:eastAsia="en-US"/>
              </w:rPr>
              <w:t xml:space="preserve"> </w:t>
            </w:r>
            <w:r w:rsidRPr="00DA2297">
              <w:rPr>
                <w:rFonts w:cs="Arial"/>
                <w:szCs w:val="22"/>
                <w:lang w:val="el-GR" w:eastAsia="en-US"/>
              </w:rPr>
              <w:t>διήθησης</w:t>
            </w:r>
            <w:r w:rsidRPr="00DA2297">
              <w:rPr>
                <w:rFonts w:cs="Arial"/>
                <w:szCs w:val="22"/>
                <w:lang w:val="en-US" w:eastAsia="en-US"/>
              </w:rPr>
              <w:t xml:space="preserve"> Ultipor (membrane stack filters) </w:t>
            </w:r>
            <w:r w:rsidRPr="00DA2297">
              <w:rPr>
                <w:rFonts w:cs="Arial"/>
                <w:szCs w:val="22"/>
                <w:lang w:val="el-GR" w:eastAsia="en-US"/>
              </w:rPr>
              <w:t>διαμέτρου</w:t>
            </w:r>
            <w:r w:rsidRPr="00DA2297">
              <w:rPr>
                <w:rFonts w:cs="Arial"/>
                <w:szCs w:val="22"/>
                <w:lang w:val="en-US" w:eastAsia="en-US"/>
              </w:rPr>
              <w:t xml:space="preserve"> 47mm, </w:t>
            </w:r>
            <w:r w:rsidRPr="00DA2297">
              <w:rPr>
                <w:rFonts w:cs="Arial"/>
                <w:szCs w:val="22"/>
                <w:lang w:val="el-GR" w:eastAsia="en-US"/>
              </w:rPr>
              <w:t>πορώδους</w:t>
            </w:r>
            <w:r w:rsidRPr="00DA2297">
              <w:rPr>
                <w:rFonts w:cs="Arial"/>
                <w:szCs w:val="22"/>
                <w:lang w:val="en-US" w:eastAsia="en-US"/>
              </w:rPr>
              <w:t xml:space="preserve"> 0,2</w:t>
            </w:r>
            <w:r w:rsidRPr="00DA2297">
              <w:rPr>
                <w:rFonts w:cs="Arial"/>
                <w:szCs w:val="22"/>
                <w:lang w:val="el-GR" w:eastAsia="en-US"/>
              </w:rPr>
              <w:t>μ</w:t>
            </w:r>
            <w:r w:rsidRPr="00DA2297">
              <w:rPr>
                <w:rFonts w:cs="Arial"/>
                <w:szCs w:val="22"/>
                <w:lang w:val="en-US" w:eastAsia="en-US"/>
              </w:rPr>
              <w:t xml:space="preserve">m, 5 </w:t>
            </w:r>
            <w:r w:rsidRPr="00DA2297">
              <w:rPr>
                <w:rFonts w:cs="Arial"/>
                <w:szCs w:val="22"/>
                <w:lang w:val="el-GR" w:eastAsia="en-US"/>
              </w:rPr>
              <w:t>τεμ</w:t>
            </w:r>
            <w:r w:rsidRPr="00DA2297">
              <w:rPr>
                <w:rFonts w:cs="Arial"/>
                <w:szCs w:val="22"/>
                <w:lang w:val="en-US" w:eastAsia="en-US"/>
              </w:rPr>
              <w:t>./pk</w:t>
            </w:r>
          </w:p>
        </w:tc>
        <w:tc>
          <w:tcPr>
            <w:tcW w:w="582" w:type="pct"/>
          </w:tcPr>
          <w:p w:rsidR="00781733" w:rsidRPr="00DA2297" w:rsidRDefault="00781733" w:rsidP="005B3E1F">
            <w:pPr>
              <w:suppressAutoHyphens w:val="0"/>
              <w:spacing w:after="0"/>
              <w:jc w:val="center"/>
              <w:rPr>
                <w:rFonts w:cs="Arial"/>
                <w:szCs w:val="22"/>
                <w:lang w:val="en-US" w:eastAsia="en-US"/>
              </w:rPr>
            </w:pPr>
          </w:p>
        </w:tc>
        <w:tc>
          <w:tcPr>
            <w:tcW w:w="655" w:type="pct"/>
          </w:tcPr>
          <w:p w:rsidR="00781733" w:rsidRPr="00DA2297" w:rsidRDefault="00781733" w:rsidP="005B3E1F">
            <w:pPr>
              <w:suppressAutoHyphens w:val="0"/>
              <w:spacing w:after="0"/>
              <w:jc w:val="center"/>
              <w:rPr>
                <w:rFonts w:cs="Arial"/>
                <w:szCs w:val="22"/>
                <w:lang w:val="en-US" w:eastAsia="en-US"/>
              </w:rPr>
            </w:pPr>
          </w:p>
        </w:tc>
        <w:tc>
          <w:tcPr>
            <w:tcW w:w="945" w:type="pct"/>
          </w:tcPr>
          <w:p w:rsidR="00781733" w:rsidRPr="00DA2297" w:rsidRDefault="00781733" w:rsidP="005B3E1F">
            <w:pPr>
              <w:suppressAutoHyphens w:val="0"/>
              <w:spacing w:after="0"/>
              <w:jc w:val="center"/>
              <w:rPr>
                <w:rFonts w:cs="Arial"/>
                <w:szCs w:val="22"/>
                <w:lang w:val="en-US" w:eastAsia="en-US"/>
              </w:rPr>
            </w:pPr>
          </w:p>
        </w:tc>
      </w:tr>
      <w:tr w:rsidR="00781733" w:rsidRPr="00DA2297" w:rsidTr="005B3E1F">
        <w:trPr>
          <w:trHeight w:val="1563"/>
        </w:trPr>
        <w:tc>
          <w:tcPr>
            <w:tcW w:w="346" w:type="pct"/>
            <w:shd w:val="clear" w:color="auto" w:fill="auto"/>
            <w:noWrap/>
            <w:hideMark/>
          </w:tcPr>
          <w:p w:rsidR="00781733" w:rsidRPr="00DA2297" w:rsidRDefault="00781733" w:rsidP="005B3E1F">
            <w:pPr>
              <w:suppressAutoHyphens w:val="0"/>
              <w:spacing w:after="0"/>
              <w:jc w:val="center"/>
              <w:rPr>
                <w:rFonts w:cs="Arial"/>
                <w:szCs w:val="22"/>
                <w:lang w:val="en-US" w:eastAsia="en-US"/>
              </w:rPr>
            </w:pPr>
            <w:r w:rsidRPr="00DA2297">
              <w:rPr>
                <w:rFonts w:cs="Arial"/>
                <w:szCs w:val="22"/>
                <w:lang w:val="en-US" w:eastAsia="en-US"/>
              </w:rPr>
              <w:t>2</w:t>
            </w:r>
          </w:p>
        </w:tc>
        <w:tc>
          <w:tcPr>
            <w:tcW w:w="2472" w:type="pct"/>
            <w:shd w:val="clear" w:color="auto" w:fill="auto"/>
          </w:tcPr>
          <w:p w:rsidR="00781733" w:rsidRPr="00DA2297" w:rsidRDefault="00781733" w:rsidP="005B3E1F">
            <w:pPr>
              <w:shd w:val="clear" w:color="auto" w:fill="FFFFFF"/>
              <w:suppressAutoHyphens w:val="0"/>
              <w:spacing w:after="0" w:line="205" w:lineRule="atLeast"/>
              <w:rPr>
                <w:rFonts w:cs="Times New Roman"/>
                <w:color w:val="222222"/>
                <w:szCs w:val="22"/>
                <w:lang w:val="el-GR" w:eastAsia="en-US"/>
              </w:rPr>
            </w:pPr>
            <w:r w:rsidRPr="00DA2297">
              <w:rPr>
                <w:rFonts w:cs="Times New Roman"/>
                <w:color w:val="222222"/>
                <w:szCs w:val="22"/>
                <w:lang w:val="el-GR" w:eastAsia="en-US"/>
              </w:rPr>
              <w:t>Ανοργανες μεμβράνες διήθησης, 0,2μ</w:t>
            </w:r>
            <w:r w:rsidRPr="00DA2297">
              <w:rPr>
                <w:rFonts w:cs="Times New Roman"/>
                <w:color w:val="222222"/>
                <w:szCs w:val="22"/>
                <w:lang w:val="en-US" w:eastAsia="en-US"/>
              </w:rPr>
              <w:t>m</w:t>
            </w:r>
            <w:r w:rsidRPr="00DA2297">
              <w:rPr>
                <w:rFonts w:cs="Times New Roman"/>
                <w:color w:val="222222"/>
                <w:szCs w:val="22"/>
                <w:lang w:val="el-GR" w:eastAsia="en-US"/>
              </w:rPr>
              <w:t>, 47</w:t>
            </w:r>
            <w:r w:rsidRPr="00DA2297">
              <w:rPr>
                <w:rFonts w:cs="Times New Roman"/>
                <w:color w:val="222222"/>
                <w:szCs w:val="22"/>
                <w:lang w:val="en-US" w:eastAsia="en-US"/>
              </w:rPr>
              <w:t>mm</w:t>
            </w:r>
            <w:r w:rsidRPr="00DA2297">
              <w:rPr>
                <w:rFonts w:cs="Times New Roman"/>
                <w:color w:val="222222"/>
                <w:szCs w:val="22"/>
                <w:lang w:val="el-GR" w:eastAsia="en-US"/>
              </w:rPr>
              <w:t>, 50/</w:t>
            </w:r>
            <w:r w:rsidRPr="00DA2297">
              <w:rPr>
                <w:rFonts w:cs="Times New Roman"/>
                <w:color w:val="222222"/>
                <w:szCs w:val="22"/>
                <w:lang w:val="en-US" w:eastAsia="en-US"/>
              </w:rPr>
              <w:t>pk</w:t>
            </w:r>
          </w:p>
          <w:p w:rsidR="00781733" w:rsidRPr="00DA2297" w:rsidRDefault="00781733" w:rsidP="005B3E1F">
            <w:pPr>
              <w:shd w:val="clear" w:color="auto" w:fill="FFFFFF"/>
              <w:suppressAutoHyphens w:val="0"/>
              <w:spacing w:after="0" w:line="205" w:lineRule="atLeast"/>
              <w:rPr>
                <w:rFonts w:cs="Times New Roman"/>
                <w:color w:val="222222"/>
                <w:szCs w:val="22"/>
                <w:lang w:val="el-GR" w:eastAsia="en-US"/>
              </w:rPr>
            </w:pPr>
            <w:r w:rsidRPr="00DA2297">
              <w:rPr>
                <w:rFonts w:cs="Times New Roman"/>
                <w:color w:val="222222"/>
                <w:szCs w:val="22"/>
                <w:lang w:val="el-GR" w:eastAsia="en-US"/>
              </w:rPr>
              <w:t>Μεμβράνες διήθησης διαμέτρου 47</w:t>
            </w:r>
            <w:r w:rsidRPr="00DA2297">
              <w:rPr>
                <w:rFonts w:cs="Times New Roman"/>
                <w:color w:val="222222"/>
                <w:szCs w:val="22"/>
                <w:lang w:val="en-US" w:eastAsia="en-US"/>
              </w:rPr>
              <w:t>mm </w:t>
            </w:r>
            <w:r w:rsidRPr="00DA2297">
              <w:rPr>
                <w:rFonts w:cs="Times New Roman"/>
                <w:color w:val="222222"/>
                <w:szCs w:val="22"/>
                <w:lang w:val="el-GR" w:eastAsia="en-US"/>
              </w:rPr>
              <w:t>&amp; πορώδους 0,2μ</w:t>
            </w:r>
            <w:r w:rsidRPr="00DA2297">
              <w:rPr>
                <w:rFonts w:cs="Times New Roman"/>
                <w:color w:val="222222"/>
                <w:szCs w:val="22"/>
                <w:lang w:val="en-US" w:eastAsia="en-US"/>
              </w:rPr>
              <w:t>m</w:t>
            </w:r>
            <w:r w:rsidRPr="00DA2297">
              <w:rPr>
                <w:rFonts w:cs="Times New Roman"/>
                <w:color w:val="222222"/>
                <w:szCs w:val="22"/>
                <w:lang w:val="el-GR" w:eastAsia="en-US"/>
              </w:rPr>
              <w:t xml:space="preserve">, κατασκευασμένες από </w:t>
            </w:r>
            <w:r w:rsidRPr="00DA2297">
              <w:rPr>
                <w:rFonts w:cs="Times New Roman"/>
                <w:color w:val="222222"/>
                <w:szCs w:val="22"/>
                <w:lang w:val="en-US" w:eastAsia="en-US"/>
              </w:rPr>
              <w:t>Aluminum</w:t>
            </w:r>
            <w:r w:rsidRPr="00DA2297">
              <w:rPr>
                <w:rFonts w:cs="Times New Roman"/>
                <w:color w:val="222222"/>
                <w:szCs w:val="22"/>
                <w:lang w:val="el-GR" w:eastAsia="en-US"/>
              </w:rPr>
              <w:t xml:space="preserve"> </w:t>
            </w:r>
            <w:r w:rsidRPr="00DA2297">
              <w:rPr>
                <w:rFonts w:cs="Times New Roman"/>
                <w:color w:val="222222"/>
                <w:szCs w:val="22"/>
                <w:lang w:val="en-US" w:eastAsia="en-US"/>
              </w:rPr>
              <w:t>oxide</w:t>
            </w:r>
            <w:r w:rsidRPr="00DA2297">
              <w:rPr>
                <w:rFonts w:cs="Times New Roman"/>
                <w:color w:val="222222"/>
                <w:szCs w:val="22"/>
                <w:lang w:val="el-GR" w:eastAsia="en-US"/>
              </w:rPr>
              <w:t>, για χαμηλή πρόσδεση πρωτεϊνών. Να διαθέτουν δακτύλιο στήριξης και να έχουν συντελεστή διάθλασης 1,6.</w:t>
            </w:r>
          </w:p>
          <w:p w:rsidR="00781733" w:rsidRPr="00DA2297" w:rsidRDefault="00781733" w:rsidP="005B3E1F">
            <w:pPr>
              <w:suppressAutoHyphens w:val="0"/>
              <w:spacing w:after="0"/>
              <w:jc w:val="center"/>
              <w:rPr>
                <w:rFonts w:cs="Arial"/>
                <w:color w:val="000000"/>
                <w:szCs w:val="22"/>
                <w:lang w:val="el-GR" w:eastAsia="en-US"/>
              </w:rPr>
            </w:pPr>
          </w:p>
        </w:tc>
        <w:tc>
          <w:tcPr>
            <w:tcW w:w="582" w:type="pct"/>
          </w:tcPr>
          <w:p w:rsidR="00781733" w:rsidRPr="00DA2297" w:rsidRDefault="00781733" w:rsidP="005B3E1F">
            <w:pPr>
              <w:shd w:val="clear" w:color="auto" w:fill="FFFFFF"/>
              <w:suppressAutoHyphens w:val="0"/>
              <w:spacing w:after="0" w:line="205" w:lineRule="atLeast"/>
              <w:rPr>
                <w:rFonts w:cs="Times New Roman"/>
                <w:color w:val="222222"/>
                <w:szCs w:val="22"/>
                <w:lang w:val="el-GR" w:eastAsia="en-US"/>
              </w:rPr>
            </w:pPr>
          </w:p>
        </w:tc>
        <w:tc>
          <w:tcPr>
            <w:tcW w:w="655" w:type="pct"/>
          </w:tcPr>
          <w:p w:rsidR="00781733" w:rsidRPr="00DA2297" w:rsidRDefault="00781733" w:rsidP="005B3E1F">
            <w:pPr>
              <w:shd w:val="clear" w:color="auto" w:fill="FFFFFF"/>
              <w:suppressAutoHyphens w:val="0"/>
              <w:spacing w:after="0" w:line="205" w:lineRule="atLeast"/>
              <w:rPr>
                <w:rFonts w:cs="Times New Roman"/>
                <w:color w:val="222222"/>
                <w:szCs w:val="22"/>
                <w:lang w:val="el-GR" w:eastAsia="en-US"/>
              </w:rPr>
            </w:pPr>
          </w:p>
        </w:tc>
        <w:tc>
          <w:tcPr>
            <w:tcW w:w="945" w:type="pct"/>
          </w:tcPr>
          <w:p w:rsidR="00781733" w:rsidRPr="00DA2297" w:rsidRDefault="00781733" w:rsidP="005B3E1F">
            <w:pPr>
              <w:shd w:val="clear" w:color="auto" w:fill="FFFFFF"/>
              <w:suppressAutoHyphens w:val="0"/>
              <w:spacing w:after="0" w:line="205" w:lineRule="atLeast"/>
              <w:rPr>
                <w:rFonts w:cs="Times New Roman"/>
                <w:color w:val="222222"/>
                <w:szCs w:val="22"/>
                <w:lang w:val="el-GR" w:eastAsia="en-US"/>
              </w:rPr>
            </w:pPr>
          </w:p>
        </w:tc>
      </w:tr>
      <w:tr w:rsidR="00781733" w:rsidRPr="00DA2297" w:rsidTr="005B3E1F">
        <w:trPr>
          <w:trHeight w:val="1515"/>
        </w:trPr>
        <w:tc>
          <w:tcPr>
            <w:tcW w:w="346" w:type="pct"/>
            <w:shd w:val="clear" w:color="auto" w:fill="auto"/>
            <w:noWrap/>
            <w:hideMark/>
          </w:tcPr>
          <w:p w:rsidR="00781733" w:rsidRPr="00DA2297" w:rsidRDefault="00781733" w:rsidP="005B3E1F">
            <w:pPr>
              <w:suppressAutoHyphens w:val="0"/>
              <w:spacing w:after="0"/>
              <w:jc w:val="center"/>
              <w:rPr>
                <w:rFonts w:cs="Arial"/>
                <w:szCs w:val="22"/>
                <w:lang w:val="en-US" w:eastAsia="en-US"/>
              </w:rPr>
            </w:pPr>
            <w:r w:rsidRPr="00DA2297">
              <w:rPr>
                <w:rFonts w:cs="Arial"/>
                <w:szCs w:val="22"/>
                <w:lang w:val="en-US" w:eastAsia="en-US"/>
              </w:rPr>
              <w:t>3</w:t>
            </w:r>
          </w:p>
        </w:tc>
        <w:tc>
          <w:tcPr>
            <w:tcW w:w="2472" w:type="pct"/>
            <w:shd w:val="clear" w:color="auto" w:fill="auto"/>
          </w:tcPr>
          <w:p w:rsidR="00781733" w:rsidRPr="00DA2297" w:rsidRDefault="00781733" w:rsidP="005B3E1F">
            <w:pPr>
              <w:suppressAutoHyphens w:val="0"/>
              <w:spacing w:after="0"/>
              <w:jc w:val="left"/>
              <w:rPr>
                <w:rFonts w:cs="Arial"/>
                <w:szCs w:val="22"/>
                <w:lang w:val="el-GR" w:eastAsia="en-US"/>
              </w:rPr>
            </w:pPr>
            <w:r w:rsidRPr="00DA2297">
              <w:rPr>
                <w:rFonts w:cs="Arial"/>
                <w:szCs w:val="22"/>
                <w:lang w:val="el-GR" w:eastAsia="en-US"/>
              </w:rPr>
              <w:t>Φίλτρα σύριγγας κατασκευασμένα εξωτερικά από πολυπροπυλένιο, με 2 πρόφιλτρα το ένα από 100% Borosilicate Glass Fiber GMF150 με πορώδες 10 µm: 1 µm &amp; το δεύτερο από GF/F πορώδους 0.7 µm. Να διαθέτει τελικό φίλτρο από πολυπροπυλένιο, πορώδους 0,45μm</w:t>
            </w:r>
          </w:p>
        </w:tc>
        <w:tc>
          <w:tcPr>
            <w:tcW w:w="582" w:type="pct"/>
          </w:tcPr>
          <w:p w:rsidR="00781733" w:rsidRPr="00DA2297" w:rsidRDefault="00781733" w:rsidP="005B3E1F">
            <w:pPr>
              <w:suppressAutoHyphens w:val="0"/>
              <w:spacing w:after="0"/>
              <w:jc w:val="left"/>
              <w:rPr>
                <w:rFonts w:cs="Arial"/>
                <w:szCs w:val="22"/>
                <w:lang w:val="el-GR" w:eastAsia="en-US"/>
              </w:rPr>
            </w:pPr>
          </w:p>
        </w:tc>
        <w:tc>
          <w:tcPr>
            <w:tcW w:w="655" w:type="pct"/>
          </w:tcPr>
          <w:p w:rsidR="00781733" w:rsidRPr="00DA2297" w:rsidRDefault="00781733" w:rsidP="005B3E1F">
            <w:pPr>
              <w:suppressAutoHyphens w:val="0"/>
              <w:spacing w:after="0"/>
              <w:jc w:val="left"/>
              <w:rPr>
                <w:rFonts w:cs="Arial"/>
                <w:szCs w:val="22"/>
                <w:lang w:val="el-GR" w:eastAsia="en-US"/>
              </w:rPr>
            </w:pPr>
          </w:p>
        </w:tc>
        <w:tc>
          <w:tcPr>
            <w:tcW w:w="945" w:type="pct"/>
          </w:tcPr>
          <w:p w:rsidR="00781733" w:rsidRPr="00DA2297" w:rsidRDefault="00781733" w:rsidP="005B3E1F">
            <w:pPr>
              <w:suppressAutoHyphens w:val="0"/>
              <w:spacing w:after="0"/>
              <w:jc w:val="left"/>
              <w:rPr>
                <w:rFonts w:cs="Arial"/>
                <w:szCs w:val="22"/>
                <w:lang w:val="el-GR" w:eastAsia="en-US"/>
              </w:rPr>
            </w:pPr>
          </w:p>
        </w:tc>
      </w:tr>
      <w:tr w:rsidR="00781733" w:rsidRPr="00DA2297" w:rsidTr="005B3E1F">
        <w:trPr>
          <w:trHeight w:val="980"/>
        </w:trPr>
        <w:tc>
          <w:tcPr>
            <w:tcW w:w="346" w:type="pct"/>
            <w:shd w:val="clear" w:color="auto" w:fill="auto"/>
            <w:noWrap/>
            <w:hideMark/>
          </w:tcPr>
          <w:p w:rsidR="00781733" w:rsidRPr="00DA2297" w:rsidRDefault="00781733" w:rsidP="005B3E1F">
            <w:pPr>
              <w:suppressAutoHyphens w:val="0"/>
              <w:spacing w:after="0"/>
              <w:jc w:val="center"/>
              <w:rPr>
                <w:rFonts w:cs="Arial"/>
                <w:szCs w:val="22"/>
                <w:lang w:val="en-US" w:eastAsia="en-US"/>
              </w:rPr>
            </w:pPr>
            <w:r w:rsidRPr="00DA2297">
              <w:rPr>
                <w:rFonts w:cs="Arial"/>
                <w:szCs w:val="22"/>
                <w:lang w:val="en-US" w:eastAsia="en-US"/>
              </w:rPr>
              <w:t>4</w:t>
            </w:r>
          </w:p>
        </w:tc>
        <w:tc>
          <w:tcPr>
            <w:tcW w:w="2472" w:type="pct"/>
            <w:shd w:val="clear" w:color="auto" w:fill="auto"/>
          </w:tcPr>
          <w:p w:rsidR="00781733" w:rsidRPr="00DA2297" w:rsidRDefault="00781733" w:rsidP="005B3E1F">
            <w:pPr>
              <w:suppressAutoHyphens w:val="0"/>
              <w:spacing w:after="0"/>
              <w:jc w:val="left"/>
              <w:rPr>
                <w:rFonts w:cs="Arial"/>
                <w:szCs w:val="22"/>
                <w:lang w:val="el-GR" w:eastAsia="en-US"/>
              </w:rPr>
            </w:pPr>
            <w:r w:rsidRPr="00DA2297">
              <w:rPr>
                <w:rFonts w:cs="Arial"/>
                <w:szCs w:val="22"/>
                <w:lang w:val="el-GR" w:eastAsia="en-US"/>
              </w:rPr>
              <w:t>Μεμβράνη</w:t>
            </w:r>
            <w:r w:rsidRPr="00DA2297">
              <w:rPr>
                <w:rFonts w:cs="Arial"/>
                <w:szCs w:val="22"/>
                <w:lang w:val="en-US" w:eastAsia="en-US"/>
              </w:rPr>
              <w:t xml:space="preserve"> </w:t>
            </w:r>
            <w:r w:rsidRPr="00DA2297">
              <w:rPr>
                <w:rFonts w:cs="Arial"/>
                <w:szCs w:val="22"/>
                <w:lang w:val="el-GR" w:eastAsia="en-US"/>
              </w:rPr>
              <w:t>νιτροκυτταρίνης</w:t>
            </w:r>
            <w:r w:rsidRPr="00DA2297">
              <w:rPr>
                <w:rFonts w:cs="Arial"/>
                <w:szCs w:val="22"/>
                <w:lang w:val="en-US" w:eastAsia="en-US"/>
              </w:rPr>
              <w:t xml:space="preserve">, </w:t>
            </w:r>
            <w:r w:rsidRPr="00DA2297">
              <w:rPr>
                <w:rFonts w:cs="Arial"/>
                <w:szCs w:val="22"/>
                <w:lang w:val="el-GR" w:eastAsia="en-US"/>
              </w:rPr>
              <w:t>διαμέτρου</w:t>
            </w:r>
            <w:r w:rsidRPr="00DA2297">
              <w:rPr>
                <w:rFonts w:cs="Arial"/>
                <w:szCs w:val="22"/>
                <w:lang w:val="en-US" w:eastAsia="en-US"/>
              </w:rPr>
              <w:t xml:space="preserve"> 82mm &amp; </w:t>
            </w:r>
            <w:r w:rsidRPr="00DA2297">
              <w:rPr>
                <w:rFonts w:cs="Arial"/>
                <w:szCs w:val="22"/>
                <w:lang w:val="el-GR" w:eastAsia="en-US"/>
              </w:rPr>
              <w:t>πορώδους</w:t>
            </w:r>
            <w:r w:rsidRPr="00DA2297">
              <w:rPr>
                <w:rFonts w:cs="Arial"/>
                <w:szCs w:val="22"/>
                <w:lang w:val="en-US" w:eastAsia="en-US"/>
              </w:rPr>
              <w:t xml:space="preserve"> 0,2</w:t>
            </w:r>
            <w:r w:rsidRPr="00DA2297">
              <w:rPr>
                <w:rFonts w:cs="Arial"/>
                <w:szCs w:val="22"/>
                <w:lang w:val="el-GR" w:eastAsia="en-US"/>
              </w:rPr>
              <w:t>μ</w:t>
            </w:r>
            <w:r w:rsidRPr="00DA2297">
              <w:rPr>
                <w:rFonts w:cs="Arial"/>
                <w:szCs w:val="22"/>
                <w:lang w:val="en-US" w:eastAsia="en-US"/>
              </w:rPr>
              <w:t xml:space="preserve">m, </w:t>
            </w:r>
            <w:r w:rsidRPr="00DA2297">
              <w:rPr>
                <w:rFonts w:cs="Arial"/>
                <w:szCs w:val="22"/>
                <w:lang w:val="el-GR" w:eastAsia="en-US"/>
              </w:rPr>
              <w:t>κατάλληλη</w:t>
            </w:r>
            <w:r w:rsidRPr="00DA2297">
              <w:rPr>
                <w:rFonts w:cs="Arial"/>
                <w:szCs w:val="22"/>
                <w:lang w:val="en-US" w:eastAsia="en-US"/>
              </w:rPr>
              <w:t xml:space="preserve"> </w:t>
            </w:r>
            <w:r w:rsidRPr="00DA2297">
              <w:rPr>
                <w:rFonts w:cs="Arial"/>
                <w:szCs w:val="22"/>
                <w:lang w:val="el-GR" w:eastAsia="en-US"/>
              </w:rPr>
              <w:t>για</w:t>
            </w:r>
            <w:r w:rsidRPr="00DA2297">
              <w:rPr>
                <w:rFonts w:cs="Arial"/>
                <w:szCs w:val="22"/>
                <w:lang w:val="en-US" w:eastAsia="en-US"/>
              </w:rPr>
              <w:t xml:space="preserve"> </w:t>
            </w:r>
            <w:r w:rsidRPr="00DA2297">
              <w:rPr>
                <w:rFonts w:cs="Arial"/>
                <w:szCs w:val="22"/>
                <w:lang w:val="el-GR" w:eastAsia="en-US"/>
              </w:rPr>
              <w:t>στύπωμα</w:t>
            </w:r>
            <w:r w:rsidRPr="00DA2297">
              <w:rPr>
                <w:rFonts w:cs="Arial"/>
                <w:szCs w:val="22"/>
                <w:lang w:val="en-US" w:eastAsia="en-US"/>
              </w:rPr>
              <w:t xml:space="preserve"> </w:t>
            </w:r>
            <w:r w:rsidRPr="00DA2297">
              <w:rPr>
                <w:rFonts w:cs="Arial"/>
                <w:szCs w:val="22"/>
                <w:lang w:val="el-GR" w:eastAsia="en-US"/>
              </w:rPr>
              <w:t>κατά</w:t>
            </w:r>
            <w:r w:rsidRPr="00DA2297">
              <w:rPr>
                <w:rFonts w:cs="Arial"/>
                <w:szCs w:val="22"/>
                <w:lang w:val="en-US" w:eastAsia="en-US"/>
              </w:rPr>
              <w:t xml:space="preserve"> Western, Northern &amp; Southern. </w:t>
            </w:r>
            <w:r w:rsidRPr="00DA2297">
              <w:rPr>
                <w:rFonts w:cs="Arial"/>
                <w:szCs w:val="22"/>
                <w:lang w:val="el-GR" w:eastAsia="en-US"/>
              </w:rPr>
              <w:t>Να διαθέτει ικανότητα πρόσδεσης &lt; 90 µg/cm² .</w:t>
            </w:r>
          </w:p>
        </w:tc>
        <w:tc>
          <w:tcPr>
            <w:tcW w:w="582" w:type="pct"/>
          </w:tcPr>
          <w:p w:rsidR="00781733" w:rsidRPr="00DA2297" w:rsidRDefault="00781733" w:rsidP="005B3E1F">
            <w:pPr>
              <w:suppressAutoHyphens w:val="0"/>
              <w:spacing w:after="0"/>
              <w:jc w:val="left"/>
              <w:rPr>
                <w:rFonts w:cs="Arial"/>
                <w:szCs w:val="22"/>
                <w:lang w:val="el-GR" w:eastAsia="en-US"/>
              </w:rPr>
            </w:pPr>
          </w:p>
        </w:tc>
        <w:tc>
          <w:tcPr>
            <w:tcW w:w="655" w:type="pct"/>
          </w:tcPr>
          <w:p w:rsidR="00781733" w:rsidRPr="00DA2297" w:rsidRDefault="00781733" w:rsidP="005B3E1F">
            <w:pPr>
              <w:suppressAutoHyphens w:val="0"/>
              <w:spacing w:after="0"/>
              <w:jc w:val="left"/>
              <w:rPr>
                <w:rFonts w:cs="Arial"/>
                <w:szCs w:val="22"/>
                <w:lang w:val="el-GR" w:eastAsia="en-US"/>
              </w:rPr>
            </w:pPr>
          </w:p>
        </w:tc>
        <w:tc>
          <w:tcPr>
            <w:tcW w:w="945" w:type="pct"/>
          </w:tcPr>
          <w:p w:rsidR="00781733" w:rsidRPr="00DA2297" w:rsidRDefault="00781733" w:rsidP="005B3E1F">
            <w:pPr>
              <w:suppressAutoHyphens w:val="0"/>
              <w:spacing w:after="0"/>
              <w:jc w:val="left"/>
              <w:rPr>
                <w:rFonts w:cs="Arial"/>
                <w:szCs w:val="22"/>
                <w:lang w:val="el-GR" w:eastAsia="en-US"/>
              </w:rPr>
            </w:pPr>
          </w:p>
        </w:tc>
      </w:tr>
      <w:tr w:rsidR="00781733" w:rsidRPr="00DA2297" w:rsidTr="005B3E1F">
        <w:trPr>
          <w:trHeight w:val="2319"/>
        </w:trPr>
        <w:tc>
          <w:tcPr>
            <w:tcW w:w="346" w:type="pct"/>
            <w:shd w:val="clear" w:color="auto" w:fill="auto"/>
            <w:noWrap/>
            <w:hideMark/>
          </w:tcPr>
          <w:p w:rsidR="00781733" w:rsidRPr="00DA2297" w:rsidRDefault="00781733" w:rsidP="005B3E1F">
            <w:pPr>
              <w:suppressAutoHyphens w:val="0"/>
              <w:spacing w:after="0"/>
              <w:jc w:val="center"/>
              <w:rPr>
                <w:rFonts w:cs="Arial"/>
                <w:szCs w:val="22"/>
                <w:lang w:val="en-US" w:eastAsia="en-US"/>
              </w:rPr>
            </w:pPr>
            <w:r w:rsidRPr="00DA2297">
              <w:rPr>
                <w:rFonts w:cs="Arial"/>
                <w:szCs w:val="22"/>
                <w:lang w:val="en-US" w:eastAsia="en-US"/>
              </w:rPr>
              <w:lastRenderedPageBreak/>
              <w:t>5</w:t>
            </w:r>
          </w:p>
        </w:tc>
        <w:tc>
          <w:tcPr>
            <w:tcW w:w="2472" w:type="pct"/>
            <w:shd w:val="clear" w:color="auto" w:fill="auto"/>
          </w:tcPr>
          <w:p w:rsidR="00781733" w:rsidRPr="00DA2297" w:rsidRDefault="00781733" w:rsidP="005B3E1F">
            <w:pPr>
              <w:suppressAutoHyphens w:val="0"/>
              <w:spacing w:after="0"/>
              <w:jc w:val="left"/>
              <w:rPr>
                <w:rFonts w:cs="Arial"/>
                <w:szCs w:val="22"/>
                <w:lang w:val="en-US" w:eastAsia="en-US"/>
              </w:rPr>
            </w:pPr>
            <w:r w:rsidRPr="00DA2297">
              <w:rPr>
                <w:rFonts w:cs="Arial"/>
                <w:szCs w:val="22"/>
                <w:lang w:val="el-GR" w:eastAsia="en-US"/>
              </w:rPr>
              <w:t>Φιλτρόχαρτα</w:t>
            </w:r>
            <w:r w:rsidRPr="00DA2297">
              <w:rPr>
                <w:rFonts w:cs="Arial"/>
                <w:szCs w:val="22"/>
                <w:lang w:val="en-US" w:eastAsia="en-US"/>
              </w:rPr>
              <w:t xml:space="preserve"> </w:t>
            </w:r>
            <w:r w:rsidRPr="00DA2297">
              <w:rPr>
                <w:rFonts w:cs="Arial"/>
                <w:szCs w:val="22"/>
                <w:lang w:val="el-GR" w:eastAsia="en-US"/>
              </w:rPr>
              <w:t>κατασκευασμένα</w:t>
            </w:r>
            <w:r w:rsidRPr="00DA2297">
              <w:rPr>
                <w:rFonts w:cs="Arial"/>
                <w:szCs w:val="22"/>
                <w:lang w:val="en-US" w:eastAsia="en-US"/>
              </w:rPr>
              <w:t xml:space="preserve"> </w:t>
            </w:r>
            <w:r w:rsidRPr="00DA2297">
              <w:rPr>
                <w:rFonts w:cs="Arial"/>
                <w:szCs w:val="22"/>
                <w:lang w:val="el-GR" w:eastAsia="en-US"/>
              </w:rPr>
              <w:t>από</w:t>
            </w:r>
            <w:r w:rsidRPr="00DA2297">
              <w:rPr>
                <w:rFonts w:cs="Arial"/>
                <w:szCs w:val="22"/>
                <w:lang w:val="en-US" w:eastAsia="en-US"/>
              </w:rPr>
              <w:t xml:space="preserve"> </w:t>
            </w:r>
            <w:r w:rsidRPr="00DA2297">
              <w:rPr>
                <w:rFonts w:cs="Arial"/>
                <w:szCs w:val="22"/>
                <w:lang w:val="el-GR" w:eastAsia="en-US"/>
              </w:rPr>
              <w:t>κυτταρίνη</w:t>
            </w:r>
            <w:r w:rsidRPr="00DA2297">
              <w:rPr>
                <w:rFonts w:cs="Arial"/>
                <w:szCs w:val="22"/>
                <w:lang w:val="en-US" w:eastAsia="en-US"/>
              </w:rPr>
              <w:t xml:space="preserve">,  </w:t>
            </w:r>
            <w:r w:rsidRPr="00DA2297">
              <w:rPr>
                <w:rFonts w:cs="Arial"/>
                <w:szCs w:val="22"/>
                <w:lang w:val="el-GR" w:eastAsia="en-US"/>
              </w:rPr>
              <w:t>πτυχωτά</w:t>
            </w:r>
            <w:r w:rsidRPr="00DA2297">
              <w:rPr>
                <w:rFonts w:cs="Arial"/>
                <w:szCs w:val="22"/>
                <w:lang w:val="en-US" w:eastAsia="en-US"/>
              </w:rPr>
              <w:t xml:space="preserve">, </w:t>
            </w:r>
            <w:r w:rsidRPr="00DA2297">
              <w:rPr>
                <w:rFonts w:cs="Arial"/>
                <w:szCs w:val="22"/>
                <w:lang w:val="el-GR" w:eastAsia="en-US"/>
              </w:rPr>
              <w:t>διαμέτρου</w:t>
            </w:r>
            <w:r w:rsidRPr="00DA2297">
              <w:rPr>
                <w:rFonts w:cs="Arial"/>
                <w:szCs w:val="22"/>
                <w:lang w:val="en-US" w:eastAsia="en-US"/>
              </w:rPr>
              <w:t xml:space="preserve"> 240mm, </w:t>
            </w:r>
            <w:r w:rsidRPr="00DA2297">
              <w:rPr>
                <w:rFonts w:cs="Arial"/>
                <w:szCs w:val="22"/>
                <w:lang w:val="el-GR" w:eastAsia="en-US"/>
              </w:rPr>
              <w:t>πορώδους</w:t>
            </w:r>
            <w:r w:rsidRPr="00DA2297">
              <w:rPr>
                <w:rFonts w:cs="Arial"/>
                <w:szCs w:val="22"/>
                <w:lang w:val="en-US" w:eastAsia="en-US"/>
              </w:rPr>
              <w:t xml:space="preserve"> 8</w:t>
            </w:r>
            <w:r w:rsidRPr="00DA2297">
              <w:rPr>
                <w:rFonts w:cs="Arial"/>
                <w:szCs w:val="22"/>
                <w:lang w:val="el-GR" w:eastAsia="en-US"/>
              </w:rPr>
              <w:t>μ</w:t>
            </w:r>
            <w:r w:rsidRPr="00DA2297">
              <w:rPr>
                <w:rFonts w:cs="Arial"/>
                <w:szCs w:val="22"/>
                <w:lang w:val="en-US" w:eastAsia="en-US"/>
              </w:rPr>
              <w:t xml:space="preserve">m, </w:t>
            </w:r>
            <w:r w:rsidRPr="00DA2297">
              <w:rPr>
                <w:rFonts w:cs="Arial"/>
                <w:szCs w:val="22"/>
                <w:lang w:val="el-GR" w:eastAsia="en-US"/>
              </w:rPr>
              <w:t>με</w:t>
            </w:r>
            <w:r w:rsidRPr="00DA2297">
              <w:rPr>
                <w:rFonts w:cs="Arial"/>
                <w:szCs w:val="22"/>
                <w:lang w:val="en-US" w:eastAsia="en-US"/>
              </w:rPr>
              <w:t xml:space="preserve"> </w:t>
            </w:r>
            <w:r w:rsidRPr="00DA2297">
              <w:rPr>
                <w:rFonts w:cs="Arial"/>
                <w:szCs w:val="22"/>
                <w:lang w:val="el-GR" w:eastAsia="en-US"/>
              </w:rPr>
              <w:t>τα</w:t>
            </w:r>
            <w:r w:rsidRPr="00DA2297">
              <w:rPr>
                <w:rFonts w:cs="Arial"/>
                <w:szCs w:val="22"/>
                <w:lang w:val="en-US" w:eastAsia="en-US"/>
              </w:rPr>
              <w:t xml:space="preserve"> </w:t>
            </w:r>
            <w:r w:rsidRPr="00DA2297">
              <w:rPr>
                <w:rFonts w:cs="Arial"/>
                <w:szCs w:val="22"/>
                <w:lang w:val="el-GR" w:eastAsia="en-US"/>
              </w:rPr>
              <w:t>παρακάτω</w:t>
            </w:r>
            <w:r w:rsidRPr="00DA2297">
              <w:rPr>
                <w:rFonts w:cs="Arial"/>
                <w:szCs w:val="22"/>
                <w:lang w:val="en-US" w:eastAsia="en-US"/>
              </w:rPr>
              <w:t xml:space="preserve"> </w:t>
            </w:r>
            <w:r w:rsidRPr="00DA2297">
              <w:rPr>
                <w:rFonts w:cs="Arial"/>
                <w:szCs w:val="22"/>
                <w:lang w:val="el-GR" w:eastAsia="en-US"/>
              </w:rPr>
              <w:t>επίπεδα</w:t>
            </w:r>
            <w:r w:rsidRPr="00DA2297">
              <w:rPr>
                <w:rFonts w:cs="Arial"/>
                <w:szCs w:val="22"/>
                <w:lang w:val="en-US" w:eastAsia="en-US"/>
              </w:rPr>
              <w:t xml:space="preserve"> </w:t>
            </w:r>
            <w:r w:rsidRPr="00DA2297">
              <w:rPr>
                <w:rFonts w:cs="Arial"/>
                <w:szCs w:val="22"/>
                <w:lang w:val="el-GR" w:eastAsia="en-US"/>
              </w:rPr>
              <w:t>ιχνοστοιχείων</w:t>
            </w:r>
            <w:r w:rsidRPr="00DA2297">
              <w:rPr>
                <w:rFonts w:cs="Arial"/>
                <w:szCs w:val="22"/>
                <w:lang w:val="en-US" w:eastAsia="en-US"/>
              </w:rPr>
              <w:t>: Aluminium 3.6 µg/g Antimony &lt;0.5 µg/g Arsenic &lt;0.5 µg/g Barium &lt;0.5 µg/g Boron &lt;1 µg/g Calcium 27.5 µg/g Chromium 1 µg/g Copper 0.9 µg/g Iron 13.7 µg/g Lead &lt;0.5 µg/g Magnesium 21 µg/g Manganese &lt;0.5 µg/g Mercury &lt;0.5 µg/g Potassium 6.2 µg/g Silicon 8.8 µg/g Sodium 32.3 µg/g Zinc 58.3 µg/g</w:t>
            </w:r>
          </w:p>
        </w:tc>
        <w:tc>
          <w:tcPr>
            <w:tcW w:w="582" w:type="pct"/>
          </w:tcPr>
          <w:p w:rsidR="00781733" w:rsidRPr="00DA2297" w:rsidRDefault="00781733" w:rsidP="005B3E1F">
            <w:pPr>
              <w:suppressAutoHyphens w:val="0"/>
              <w:spacing w:after="0"/>
              <w:jc w:val="left"/>
              <w:rPr>
                <w:rFonts w:cs="Arial"/>
                <w:szCs w:val="22"/>
                <w:lang w:val="en-US" w:eastAsia="en-US"/>
              </w:rPr>
            </w:pPr>
          </w:p>
        </w:tc>
        <w:tc>
          <w:tcPr>
            <w:tcW w:w="655" w:type="pct"/>
          </w:tcPr>
          <w:p w:rsidR="00781733" w:rsidRPr="00DA2297" w:rsidRDefault="00781733" w:rsidP="005B3E1F">
            <w:pPr>
              <w:suppressAutoHyphens w:val="0"/>
              <w:spacing w:after="0"/>
              <w:jc w:val="left"/>
              <w:rPr>
                <w:rFonts w:cs="Arial"/>
                <w:szCs w:val="22"/>
                <w:lang w:val="en-US" w:eastAsia="en-US"/>
              </w:rPr>
            </w:pPr>
          </w:p>
        </w:tc>
        <w:tc>
          <w:tcPr>
            <w:tcW w:w="945" w:type="pct"/>
          </w:tcPr>
          <w:p w:rsidR="00781733" w:rsidRPr="00DA2297" w:rsidRDefault="00781733" w:rsidP="005B3E1F">
            <w:pPr>
              <w:suppressAutoHyphens w:val="0"/>
              <w:spacing w:after="0"/>
              <w:jc w:val="left"/>
              <w:rPr>
                <w:rFonts w:cs="Arial"/>
                <w:szCs w:val="22"/>
                <w:lang w:val="en-US" w:eastAsia="en-US"/>
              </w:rPr>
            </w:pPr>
          </w:p>
        </w:tc>
      </w:tr>
      <w:tr w:rsidR="00781733" w:rsidRPr="00DA2297" w:rsidTr="005B3E1F">
        <w:trPr>
          <w:trHeight w:val="1273"/>
        </w:trPr>
        <w:tc>
          <w:tcPr>
            <w:tcW w:w="346" w:type="pct"/>
            <w:shd w:val="clear" w:color="auto" w:fill="auto"/>
            <w:noWrap/>
            <w:hideMark/>
          </w:tcPr>
          <w:p w:rsidR="00781733" w:rsidRPr="00DA2297" w:rsidRDefault="00781733" w:rsidP="005B3E1F">
            <w:pPr>
              <w:suppressAutoHyphens w:val="0"/>
              <w:spacing w:after="0"/>
              <w:jc w:val="center"/>
              <w:rPr>
                <w:rFonts w:cs="Arial"/>
                <w:szCs w:val="22"/>
                <w:lang w:val="en-US" w:eastAsia="en-US"/>
              </w:rPr>
            </w:pPr>
            <w:r w:rsidRPr="00DA2297">
              <w:rPr>
                <w:rFonts w:cs="Arial"/>
                <w:szCs w:val="22"/>
                <w:lang w:val="en-US" w:eastAsia="en-US"/>
              </w:rPr>
              <w:t>6</w:t>
            </w:r>
          </w:p>
        </w:tc>
        <w:tc>
          <w:tcPr>
            <w:tcW w:w="2472" w:type="pct"/>
            <w:shd w:val="clear" w:color="auto" w:fill="auto"/>
          </w:tcPr>
          <w:p w:rsidR="00781733" w:rsidRPr="00DA2297" w:rsidRDefault="00781733" w:rsidP="005B3E1F">
            <w:pPr>
              <w:suppressAutoHyphens w:val="0"/>
              <w:spacing w:after="0"/>
              <w:jc w:val="left"/>
              <w:rPr>
                <w:rFonts w:cs="Arial"/>
                <w:szCs w:val="22"/>
                <w:lang w:val="el-GR" w:eastAsia="en-US"/>
              </w:rPr>
            </w:pPr>
            <w:r w:rsidRPr="00DA2297">
              <w:rPr>
                <w:rFonts w:cs="Arial"/>
                <w:szCs w:val="22"/>
                <w:lang w:val="el-GR" w:eastAsia="en-US"/>
              </w:rPr>
              <w:t>Χαρτί δειγματοληψίας σε μορφή κάρτας, κατασκευασμένο κατάλληλα για την συλλογή &amp; απομόνωση πρωτεϊνών από διάφορα δείγματα (π.χ. αίμα ποντικών), με 5 περιοχές δειγματοληψίας, 100 κάρτες/pk</w:t>
            </w:r>
          </w:p>
        </w:tc>
        <w:tc>
          <w:tcPr>
            <w:tcW w:w="582" w:type="pct"/>
          </w:tcPr>
          <w:p w:rsidR="00781733" w:rsidRPr="00DA2297" w:rsidRDefault="00781733" w:rsidP="005B3E1F">
            <w:pPr>
              <w:suppressAutoHyphens w:val="0"/>
              <w:spacing w:after="0"/>
              <w:jc w:val="left"/>
              <w:rPr>
                <w:rFonts w:cs="Arial"/>
                <w:szCs w:val="22"/>
                <w:lang w:val="el-GR" w:eastAsia="en-US"/>
              </w:rPr>
            </w:pPr>
          </w:p>
        </w:tc>
        <w:tc>
          <w:tcPr>
            <w:tcW w:w="655" w:type="pct"/>
          </w:tcPr>
          <w:p w:rsidR="00781733" w:rsidRPr="00DA2297" w:rsidRDefault="00781733" w:rsidP="005B3E1F">
            <w:pPr>
              <w:suppressAutoHyphens w:val="0"/>
              <w:spacing w:after="0"/>
              <w:jc w:val="left"/>
              <w:rPr>
                <w:rFonts w:cs="Arial"/>
                <w:szCs w:val="22"/>
                <w:lang w:val="el-GR" w:eastAsia="en-US"/>
              </w:rPr>
            </w:pPr>
          </w:p>
        </w:tc>
        <w:tc>
          <w:tcPr>
            <w:tcW w:w="945" w:type="pct"/>
          </w:tcPr>
          <w:p w:rsidR="00781733" w:rsidRPr="00DA2297" w:rsidRDefault="00781733" w:rsidP="005B3E1F">
            <w:pPr>
              <w:suppressAutoHyphens w:val="0"/>
              <w:spacing w:after="0"/>
              <w:jc w:val="left"/>
              <w:rPr>
                <w:rFonts w:cs="Arial"/>
                <w:szCs w:val="22"/>
                <w:lang w:val="el-GR" w:eastAsia="en-US"/>
              </w:rPr>
            </w:pPr>
          </w:p>
        </w:tc>
      </w:tr>
      <w:tr w:rsidR="00781733" w:rsidRPr="00DA2297" w:rsidTr="005B3E1F">
        <w:trPr>
          <w:trHeight w:val="1108"/>
        </w:trPr>
        <w:tc>
          <w:tcPr>
            <w:tcW w:w="346" w:type="pct"/>
            <w:shd w:val="clear" w:color="auto" w:fill="auto"/>
            <w:noWrap/>
          </w:tcPr>
          <w:p w:rsidR="00781733" w:rsidRPr="00DA2297" w:rsidRDefault="00781733" w:rsidP="005B3E1F">
            <w:pPr>
              <w:suppressAutoHyphens w:val="0"/>
              <w:spacing w:after="0"/>
              <w:jc w:val="center"/>
              <w:rPr>
                <w:rFonts w:cs="Arial"/>
                <w:szCs w:val="22"/>
                <w:lang w:val="el-GR" w:eastAsia="en-US"/>
              </w:rPr>
            </w:pPr>
            <w:r w:rsidRPr="00DA2297">
              <w:rPr>
                <w:rFonts w:cs="Arial"/>
                <w:szCs w:val="22"/>
                <w:lang w:val="el-GR" w:eastAsia="en-US"/>
              </w:rPr>
              <w:t>7</w:t>
            </w:r>
          </w:p>
        </w:tc>
        <w:tc>
          <w:tcPr>
            <w:tcW w:w="2472" w:type="pct"/>
            <w:shd w:val="clear" w:color="auto" w:fill="auto"/>
          </w:tcPr>
          <w:p w:rsidR="00781733" w:rsidRPr="00DA2297" w:rsidRDefault="00781733" w:rsidP="005B3E1F">
            <w:pPr>
              <w:suppressAutoHyphens w:val="0"/>
              <w:spacing w:after="0"/>
              <w:jc w:val="left"/>
              <w:rPr>
                <w:rFonts w:cs="Arial"/>
                <w:szCs w:val="22"/>
                <w:lang w:val="el-GR" w:eastAsia="en-US"/>
              </w:rPr>
            </w:pPr>
            <w:r w:rsidRPr="00DA2297">
              <w:rPr>
                <w:rFonts w:cs="Arial"/>
                <w:szCs w:val="22"/>
                <w:lang w:val="el-GR" w:eastAsia="en-US"/>
              </w:rPr>
              <w:t>Μεμβράνες διήθησης κατασκευασμένες από μεικτούς εστέρες κυτταρίνης, μη αποστειρωμένες, λευκές, πορώδους 0.80μm, 25mm διαμέτρου, πακ/100</w:t>
            </w:r>
          </w:p>
        </w:tc>
        <w:tc>
          <w:tcPr>
            <w:tcW w:w="582" w:type="pct"/>
          </w:tcPr>
          <w:p w:rsidR="00781733" w:rsidRPr="00DA2297" w:rsidRDefault="00781733" w:rsidP="005B3E1F">
            <w:pPr>
              <w:suppressAutoHyphens w:val="0"/>
              <w:spacing w:after="0"/>
              <w:jc w:val="left"/>
              <w:rPr>
                <w:rFonts w:cs="Arial"/>
                <w:szCs w:val="22"/>
                <w:lang w:val="el-GR" w:eastAsia="en-US"/>
              </w:rPr>
            </w:pPr>
          </w:p>
        </w:tc>
        <w:tc>
          <w:tcPr>
            <w:tcW w:w="655" w:type="pct"/>
          </w:tcPr>
          <w:p w:rsidR="00781733" w:rsidRPr="00DA2297" w:rsidRDefault="00781733" w:rsidP="005B3E1F">
            <w:pPr>
              <w:suppressAutoHyphens w:val="0"/>
              <w:spacing w:after="0"/>
              <w:jc w:val="left"/>
              <w:rPr>
                <w:rFonts w:cs="Arial"/>
                <w:szCs w:val="22"/>
                <w:lang w:val="el-GR" w:eastAsia="en-US"/>
              </w:rPr>
            </w:pPr>
          </w:p>
        </w:tc>
        <w:tc>
          <w:tcPr>
            <w:tcW w:w="945" w:type="pct"/>
          </w:tcPr>
          <w:p w:rsidR="00781733" w:rsidRPr="00DA2297" w:rsidRDefault="00781733" w:rsidP="005B3E1F">
            <w:pPr>
              <w:suppressAutoHyphens w:val="0"/>
              <w:spacing w:after="0"/>
              <w:jc w:val="left"/>
              <w:rPr>
                <w:rFonts w:cs="Arial"/>
                <w:szCs w:val="22"/>
                <w:lang w:val="el-GR" w:eastAsia="en-US"/>
              </w:rPr>
            </w:pPr>
          </w:p>
        </w:tc>
      </w:tr>
      <w:tr w:rsidR="00781733" w:rsidRPr="00DA2297" w:rsidTr="005B3E1F">
        <w:trPr>
          <w:trHeight w:val="1126"/>
        </w:trPr>
        <w:tc>
          <w:tcPr>
            <w:tcW w:w="346" w:type="pct"/>
            <w:shd w:val="clear" w:color="auto" w:fill="auto"/>
            <w:noWrap/>
          </w:tcPr>
          <w:p w:rsidR="00781733" w:rsidRPr="00DA2297" w:rsidRDefault="00781733" w:rsidP="005B3E1F">
            <w:pPr>
              <w:suppressAutoHyphens w:val="0"/>
              <w:spacing w:after="0"/>
              <w:jc w:val="center"/>
              <w:rPr>
                <w:rFonts w:cs="Arial"/>
                <w:szCs w:val="22"/>
                <w:lang w:val="el-GR" w:eastAsia="en-US"/>
              </w:rPr>
            </w:pPr>
            <w:r w:rsidRPr="00DA2297">
              <w:rPr>
                <w:rFonts w:cs="Arial"/>
                <w:szCs w:val="22"/>
                <w:lang w:val="el-GR" w:eastAsia="en-US"/>
              </w:rPr>
              <w:t>8</w:t>
            </w:r>
          </w:p>
        </w:tc>
        <w:tc>
          <w:tcPr>
            <w:tcW w:w="2472" w:type="pct"/>
            <w:shd w:val="clear" w:color="auto" w:fill="auto"/>
          </w:tcPr>
          <w:p w:rsidR="00781733" w:rsidRPr="00DA2297" w:rsidRDefault="00781733" w:rsidP="005B3E1F">
            <w:pPr>
              <w:suppressAutoHyphens w:val="0"/>
              <w:spacing w:after="0"/>
              <w:jc w:val="left"/>
              <w:rPr>
                <w:rFonts w:cs="Arial"/>
                <w:szCs w:val="22"/>
                <w:lang w:val="el-GR" w:eastAsia="en-US"/>
              </w:rPr>
            </w:pPr>
            <w:r w:rsidRPr="00DA2297">
              <w:rPr>
                <w:rFonts w:cs="Arial"/>
                <w:szCs w:val="22"/>
                <w:lang w:val="el-GR" w:eastAsia="en-US"/>
              </w:rPr>
              <w:t>Μεμβράνες διήθησης κατασκευασμένες από Teflon (PTFE), μη αποστειρωμένες, λευκές, πορώδους 0.2 µm, 25 mm διαμέτρου, PK/100</w:t>
            </w:r>
          </w:p>
        </w:tc>
        <w:tc>
          <w:tcPr>
            <w:tcW w:w="582" w:type="pct"/>
          </w:tcPr>
          <w:p w:rsidR="00781733" w:rsidRPr="00DA2297" w:rsidRDefault="00781733" w:rsidP="005B3E1F">
            <w:pPr>
              <w:suppressAutoHyphens w:val="0"/>
              <w:spacing w:after="0"/>
              <w:jc w:val="left"/>
              <w:rPr>
                <w:rFonts w:cs="Arial"/>
                <w:szCs w:val="22"/>
                <w:lang w:val="el-GR" w:eastAsia="en-US"/>
              </w:rPr>
            </w:pPr>
          </w:p>
        </w:tc>
        <w:tc>
          <w:tcPr>
            <w:tcW w:w="655" w:type="pct"/>
          </w:tcPr>
          <w:p w:rsidR="00781733" w:rsidRPr="00DA2297" w:rsidRDefault="00781733" w:rsidP="005B3E1F">
            <w:pPr>
              <w:suppressAutoHyphens w:val="0"/>
              <w:spacing w:after="0"/>
              <w:jc w:val="left"/>
              <w:rPr>
                <w:rFonts w:cs="Arial"/>
                <w:szCs w:val="22"/>
                <w:lang w:val="el-GR" w:eastAsia="en-US"/>
              </w:rPr>
            </w:pPr>
          </w:p>
        </w:tc>
        <w:tc>
          <w:tcPr>
            <w:tcW w:w="945" w:type="pct"/>
          </w:tcPr>
          <w:p w:rsidR="00781733" w:rsidRPr="00DA2297" w:rsidRDefault="00781733" w:rsidP="005B3E1F">
            <w:pPr>
              <w:suppressAutoHyphens w:val="0"/>
              <w:spacing w:after="0"/>
              <w:jc w:val="left"/>
              <w:rPr>
                <w:rFonts w:cs="Arial"/>
                <w:szCs w:val="22"/>
                <w:lang w:val="el-GR" w:eastAsia="en-US"/>
              </w:rPr>
            </w:pPr>
          </w:p>
        </w:tc>
      </w:tr>
    </w:tbl>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781733" w:rsidRDefault="00781733" w:rsidP="00781733">
      <w:pPr>
        <w:rPr>
          <w:lang w:val="el-GR"/>
        </w:rPr>
      </w:pPr>
    </w:p>
    <w:p w:rsidR="000C091C" w:rsidRPr="00781733" w:rsidRDefault="000C091C">
      <w:pPr>
        <w:rPr>
          <w:lang w:val="el-GR"/>
        </w:rPr>
      </w:pPr>
    </w:p>
    <w:sectPr w:rsidR="000C091C" w:rsidRPr="0078173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00" w:rsidRDefault="00764800" w:rsidP="00781733">
      <w:pPr>
        <w:spacing w:after="0"/>
      </w:pPr>
      <w:r>
        <w:separator/>
      </w:r>
    </w:p>
  </w:endnote>
  <w:endnote w:type="continuationSeparator" w:id="0">
    <w:p w:rsidR="00764800" w:rsidRDefault="00764800" w:rsidP="00781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758786"/>
      <w:docPartObj>
        <w:docPartGallery w:val="Page Numbers (Bottom of Page)"/>
        <w:docPartUnique/>
      </w:docPartObj>
    </w:sdtPr>
    <w:sdtEndPr>
      <w:rPr>
        <w:noProof/>
      </w:rPr>
    </w:sdtEndPr>
    <w:sdtContent>
      <w:p w:rsidR="00781733" w:rsidRDefault="00781733">
        <w:pPr>
          <w:pStyle w:val="Footer"/>
          <w:jc w:val="right"/>
        </w:pPr>
        <w:r>
          <w:fldChar w:fldCharType="begin"/>
        </w:r>
        <w:r>
          <w:instrText xml:space="preserve"> PAGE   \* MERGEFORMAT </w:instrText>
        </w:r>
        <w:r>
          <w:fldChar w:fldCharType="separate"/>
        </w:r>
        <w:r w:rsidR="006D1B24">
          <w:rPr>
            <w:noProof/>
          </w:rPr>
          <w:t>2</w:t>
        </w:r>
        <w:r>
          <w:rPr>
            <w:noProof/>
          </w:rPr>
          <w:fldChar w:fldCharType="end"/>
        </w:r>
      </w:p>
    </w:sdtContent>
  </w:sdt>
  <w:p w:rsidR="00781733" w:rsidRDefault="007817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00" w:rsidRDefault="00764800" w:rsidP="00781733">
      <w:pPr>
        <w:spacing w:after="0"/>
      </w:pPr>
      <w:r>
        <w:separator/>
      </w:r>
    </w:p>
  </w:footnote>
  <w:footnote w:type="continuationSeparator" w:id="0">
    <w:p w:rsidR="00764800" w:rsidRDefault="00764800" w:rsidP="007817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33"/>
    <w:rsid w:val="000C091C"/>
    <w:rsid w:val="006D1B24"/>
    <w:rsid w:val="00764800"/>
    <w:rsid w:val="00781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1BA0-2527-4B60-B840-A513BDC6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33"/>
    <w:pPr>
      <w:suppressAutoHyphens/>
      <w:spacing w:after="120" w:line="240" w:lineRule="auto"/>
      <w:jc w:val="both"/>
    </w:pPr>
    <w:rPr>
      <w:rFonts w:ascii="Calibri" w:eastAsia="Times New Roman" w:hAnsi="Calibri" w:cs="Calibri"/>
      <w:szCs w:val="24"/>
      <w:lang w:eastAsia="ar-SA"/>
    </w:rPr>
  </w:style>
  <w:style w:type="paragraph" w:styleId="Heading1">
    <w:name w:val="heading 1"/>
    <w:basedOn w:val="Normal"/>
    <w:next w:val="Normal"/>
    <w:link w:val="Heading1Char"/>
    <w:uiPriority w:val="9"/>
    <w:qFormat/>
    <w:rsid w:val="00781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781733"/>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1733"/>
    <w:rPr>
      <w:rFonts w:ascii="Arial" w:eastAsia="Times New Roman" w:hAnsi="Arial" w:cs="Arial"/>
      <w:b/>
      <w:color w:val="002060"/>
      <w:sz w:val="24"/>
      <w:lang w:eastAsia="ar-SA"/>
    </w:rPr>
  </w:style>
  <w:style w:type="paragraph" w:customStyle="1" w:styleId="normalwithoutspacing">
    <w:name w:val="normal_without_spacing"/>
    <w:basedOn w:val="Normal"/>
    <w:rsid w:val="00781733"/>
    <w:pPr>
      <w:spacing w:after="60"/>
    </w:pPr>
    <w:rPr>
      <w:lang w:val="el-GR"/>
    </w:rPr>
  </w:style>
  <w:style w:type="character" w:customStyle="1" w:styleId="Heading1Char">
    <w:name w:val="Heading 1 Char"/>
    <w:basedOn w:val="DefaultParagraphFont"/>
    <w:link w:val="Heading1"/>
    <w:uiPriority w:val="9"/>
    <w:rsid w:val="00781733"/>
    <w:rPr>
      <w:rFonts w:asciiTheme="majorHAnsi" w:eastAsiaTheme="majorEastAsia" w:hAnsiTheme="majorHAnsi" w:cstheme="majorBidi"/>
      <w:color w:val="2E74B5" w:themeColor="accent1" w:themeShade="BF"/>
      <w:sz w:val="32"/>
      <w:szCs w:val="32"/>
      <w:lang w:eastAsia="ar-SA"/>
    </w:rPr>
  </w:style>
  <w:style w:type="paragraph" w:styleId="Header">
    <w:name w:val="header"/>
    <w:basedOn w:val="Normal"/>
    <w:link w:val="HeaderChar"/>
    <w:uiPriority w:val="99"/>
    <w:unhideWhenUsed/>
    <w:rsid w:val="00781733"/>
    <w:pPr>
      <w:tabs>
        <w:tab w:val="center" w:pos="4153"/>
        <w:tab w:val="right" w:pos="8306"/>
      </w:tabs>
      <w:spacing w:after="0"/>
    </w:pPr>
  </w:style>
  <w:style w:type="character" w:customStyle="1" w:styleId="HeaderChar">
    <w:name w:val="Header Char"/>
    <w:basedOn w:val="DefaultParagraphFont"/>
    <w:link w:val="Header"/>
    <w:uiPriority w:val="99"/>
    <w:rsid w:val="00781733"/>
    <w:rPr>
      <w:rFonts w:ascii="Calibri" w:eastAsia="Times New Roman" w:hAnsi="Calibri" w:cs="Calibri"/>
      <w:szCs w:val="24"/>
      <w:lang w:eastAsia="ar-SA"/>
    </w:rPr>
  </w:style>
  <w:style w:type="paragraph" w:styleId="Footer">
    <w:name w:val="footer"/>
    <w:basedOn w:val="Normal"/>
    <w:link w:val="FooterChar"/>
    <w:uiPriority w:val="99"/>
    <w:unhideWhenUsed/>
    <w:rsid w:val="00781733"/>
    <w:pPr>
      <w:tabs>
        <w:tab w:val="center" w:pos="4153"/>
        <w:tab w:val="right" w:pos="8306"/>
      </w:tabs>
      <w:spacing w:after="0"/>
    </w:pPr>
  </w:style>
  <w:style w:type="character" w:customStyle="1" w:styleId="FooterChar">
    <w:name w:val="Footer Char"/>
    <w:basedOn w:val="DefaultParagraphFont"/>
    <w:link w:val="Footer"/>
    <w:uiPriority w:val="99"/>
    <w:rsid w:val="00781733"/>
    <w:rPr>
      <w:rFonts w:ascii="Calibri" w:eastAsia="Times New Roman" w:hAnsi="Calibri" w:cs="Calibri"/>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2022-01-12T08:46:00Z</dcterms:created>
  <dcterms:modified xsi:type="dcterms:W3CDTF">2022-01-12T08:46:00Z</dcterms:modified>
</cp:coreProperties>
</file>