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9F" w:rsidRPr="008169BF" w:rsidRDefault="001E649F" w:rsidP="001E649F">
      <w:pPr>
        <w:pStyle w:val="Heading2"/>
        <w:tabs>
          <w:tab w:val="clear" w:pos="567"/>
          <w:tab w:val="left" w:pos="0"/>
        </w:tabs>
        <w:spacing w:before="0" w:after="120"/>
        <w:ind w:left="0" w:firstLine="0"/>
        <w:rPr>
          <w:rFonts w:ascii="Calibri" w:hAnsi="Calibri"/>
          <w:szCs w:val="24"/>
          <w:lang w:val="el-GR"/>
        </w:rPr>
      </w:pPr>
      <w:bookmarkStart w:id="0" w:name="_Toc89248990"/>
      <w:bookmarkStart w:id="1" w:name="_GoBack"/>
      <w:bookmarkEnd w:id="1"/>
      <w:r w:rsidRPr="008169BF">
        <w:rPr>
          <w:rFonts w:ascii="Calibri" w:hAnsi="Calibri"/>
          <w:szCs w:val="24"/>
          <w:lang w:val="el-GR"/>
        </w:rPr>
        <w:t>ΠΑΡΑΡΤΗΜΑ ΙΙ ΠΙΝΑΚΕΣ ΣΥΜΜΟΡΦΩΣΗΣ</w:t>
      </w:r>
      <w:bookmarkEnd w:id="0"/>
    </w:p>
    <w:p w:rsidR="001E649F" w:rsidRPr="001F15CF" w:rsidRDefault="001E649F" w:rsidP="001E649F">
      <w:pPr>
        <w:suppressAutoHyphens w:val="0"/>
        <w:autoSpaceDE w:val="0"/>
        <w:rPr>
          <w:rFonts w:eastAsia="SimSun"/>
          <w:sz w:val="24"/>
          <w:lang w:val="el-GR"/>
        </w:rPr>
      </w:pPr>
    </w:p>
    <w:p w:rsidR="001E649F" w:rsidRPr="00E94B94" w:rsidRDefault="001E649F" w:rsidP="001E649F">
      <w:pPr>
        <w:rPr>
          <w:b/>
          <w:sz w:val="24"/>
          <w:lang w:val="el-GR"/>
        </w:rPr>
      </w:pPr>
      <w:r w:rsidRPr="00E94B94">
        <w:rPr>
          <w:b/>
          <w:sz w:val="24"/>
          <w:lang w:val="el-GR"/>
        </w:rPr>
        <w:t xml:space="preserve">ΤΜΗΜΑ 1. Κυτταροδιαχωριστής ροής με τρεις πηγές </w:t>
      </w:r>
      <w:r w:rsidRPr="00E94B94">
        <w:rPr>
          <w:b/>
          <w:sz w:val="24"/>
        </w:rPr>
        <w:t>laser</w:t>
      </w:r>
      <w:r w:rsidRPr="00E94B94">
        <w:rPr>
          <w:b/>
          <w:sz w:val="24"/>
          <w:lang w:val="el-GR"/>
        </w:rPr>
        <w:t xml:space="preserve"> συνοδευόμενος από ειδικό θάλαμο νηματικής ροής κλάσης ΙΙ (Α2)</w:t>
      </w:r>
      <w:r>
        <w:rPr>
          <w:b/>
          <w:sz w:val="24"/>
          <w:lang w:val="el-GR"/>
        </w:rPr>
        <w:t xml:space="preserve"> για φαινοτυπικές αναλύσεις, περιλαμβανομένων ασθενών με </w:t>
      </w:r>
      <w:r>
        <w:rPr>
          <w:b/>
          <w:sz w:val="24"/>
          <w:lang w:val="en-US"/>
        </w:rPr>
        <w:t>COVID</w:t>
      </w:r>
      <w:r>
        <w:rPr>
          <w:b/>
          <w:sz w:val="24"/>
          <w:lang w:val="el-GR"/>
        </w:rPr>
        <w:t>-19 ή και εμβολιασμένων</w:t>
      </w:r>
      <w:r w:rsidRPr="00E94B94">
        <w:rPr>
          <w:b/>
          <w:sz w:val="24"/>
          <w:lang w:val="el-GR"/>
        </w:rPr>
        <w:t>.</w:t>
      </w:r>
    </w:p>
    <w:p w:rsidR="001E649F" w:rsidRPr="001F15CF" w:rsidRDefault="001E649F" w:rsidP="001E649F">
      <w:pPr>
        <w:suppressAutoHyphens w:val="0"/>
        <w:autoSpaceDE w:val="0"/>
        <w:rPr>
          <w:rFonts w:eastAsia="SimSun"/>
          <w:sz w:val="24"/>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876"/>
        <w:gridCol w:w="835"/>
        <w:gridCol w:w="974"/>
        <w:gridCol w:w="1670"/>
      </w:tblGrid>
      <w:tr w:rsidR="001E649F" w:rsidRPr="001F15CF" w:rsidTr="00840779">
        <w:tc>
          <w:tcPr>
            <w:tcW w:w="367" w:type="pct"/>
            <w:tcBorders>
              <w:left w:val="single" w:sz="4" w:space="0" w:color="auto"/>
            </w:tcBorders>
            <w:shd w:val="clear" w:color="auto" w:fill="auto"/>
            <w:vAlign w:val="center"/>
          </w:tcPr>
          <w:p w:rsidR="001E649F" w:rsidRPr="001F15CF" w:rsidRDefault="001E649F" w:rsidP="00840779">
            <w:pPr>
              <w:jc w:val="center"/>
              <w:rPr>
                <w:rFonts w:eastAsia="Calibri"/>
                <w:b/>
                <w:sz w:val="24"/>
                <w:lang w:val="el-GR"/>
              </w:rPr>
            </w:pPr>
          </w:p>
        </w:tc>
        <w:tc>
          <w:tcPr>
            <w:tcW w:w="2704" w:type="pct"/>
            <w:tcBorders>
              <w:left w:val="single" w:sz="4" w:space="0" w:color="auto"/>
            </w:tcBorders>
            <w:shd w:val="clear" w:color="auto" w:fill="auto"/>
            <w:vAlign w:val="center"/>
          </w:tcPr>
          <w:p w:rsidR="001E649F" w:rsidRPr="001F15CF" w:rsidRDefault="001E649F" w:rsidP="00840779">
            <w:pPr>
              <w:jc w:val="center"/>
              <w:rPr>
                <w:rFonts w:eastAsia="Calibri"/>
                <w:b/>
                <w:sz w:val="24"/>
                <w:lang w:val="el-GR"/>
              </w:rPr>
            </w:pPr>
          </w:p>
        </w:tc>
        <w:tc>
          <w:tcPr>
            <w:tcW w:w="1003" w:type="pct"/>
            <w:gridSpan w:val="2"/>
            <w:tcBorders>
              <w:left w:val="single" w:sz="4" w:space="0" w:color="auto"/>
            </w:tcBorders>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ΑΠΑΙΤΗΣΗ</w:t>
            </w:r>
          </w:p>
        </w:tc>
        <w:tc>
          <w:tcPr>
            <w:tcW w:w="926" w:type="pct"/>
            <w:tcBorders>
              <w:left w:val="single" w:sz="4" w:space="0" w:color="auto"/>
            </w:tcBorders>
            <w:shd w:val="clear" w:color="auto" w:fill="auto"/>
            <w:vAlign w:val="center"/>
          </w:tcPr>
          <w:p w:rsidR="001E649F" w:rsidRPr="001F15CF" w:rsidRDefault="001E649F" w:rsidP="00840779">
            <w:pPr>
              <w:jc w:val="center"/>
              <w:rPr>
                <w:rFonts w:eastAsia="Calibri"/>
                <w:b/>
                <w:sz w:val="24"/>
                <w:lang w:val="el-GR"/>
              </w:rPr>
            </w:pPr>
          </w:p>
        </w:tc>
      </w:tr>
      <w:tr w:rsidR="001E649F" w:rsidRPr="001F15CF" w:rsidTr="00840779">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Α/Α</w:t>
            </w:r>
          </w:p>
        </w:tc>
        <w:tc>
          <w:tcPr>
            <w:tcW w:w="2704"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ΤΕΧΝΙΚΕΣ ΠΡΟΔΙΑΓΡΑΦΕΣ</w:t>
            </w:r>
          </w:p>
        </w:tc>
        <w:tc>
          <w:tcPr>
            <w:tcW w:w="463"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ΝΑΙ</w:t>
            </w:r>
          </w:p>
        </w:tc>
        <w:tc>
          <w:tcPr>
            <w:tcW w:w="540"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ΟΧΙ</w:t>
            </w:r>
          </w:p>
        </w:tc>
        <w:tc>
          <w:tcPr>
            <w:tcW w:w="926"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ΠΑΡΑΠΟΜΠΗ</w:t>
            </w:r>
          </w:p>
        </w:tc>
      </w:tr>
      <w:tr w:rsidR="001E649F" w:rsidRPr="001F15CF" w:rsidTr="00840779">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1</w:t>
            </w:r>
          </w:p>
        </w:tc>
        <w:tc>
          <w:tcPr>
            <w:tcW w:w="2704" w:type="pct"/>
            <w:shd w:val="clear" w:color="auto" w:fill="auto"/>
            <w:vAlign w:val="center"/>
          </w:tcPr>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Pr>
                <w:rFonts w:ascii="Calibri" w:hAnsi="Calibri"/>
                <w:sz w:val="24"/>
                <w:szCs w:val="24"/>
                <w:lang w:val="el-GR"/>
              </w:rPr>
              <w:t xml:space="preserve"> Κ</w:t>
            </w:r>
            <w:r w:rsidRPr="001F15CF">
              <w:rPr>
                <w:rFonts w:ascii="Calibri" w:hAnsi="Calibri"/>
                <w:sz w:val="24"/>
                <w:szCs w:val="24"/>
                <w:lang w:val="el-GR"/>
              </w:rPr>
              <w:t>υτταροδιαχωριστής που να διαθέτει κυψελίδα ροής και σταθερό σύστημα ευθυγράμμισης των οπτικών πηγών.</w:t>
            </w:r>
          </w:p>
          <w:p w:rsidR="001E649F" w:rsidRPr="009B525E" w:rsidRDefault="001E649F" w:rsidP="001E649F">
            <w:pPr>
              <w:pStyle w:val="ListParagraph"/>
              <w:numPr>
                <w:ilvl w:val="0"/>
                <w:numId w:val="2"/>
              </w:numPr>
              <w:tabs>
                <w:tab w:val="left" w:pos="284"/>
              </w:tabs>
              <w:ind w:left="284" w:hanging="284"/>
              <w:jc w:val="both"/>
              <w:rPr>
                <w:rFonts w:ascii="Calibri" w:hAnsi="Calibri"/>
                <w:sz w:val="24"/>
                <w:szCs w:val="24"/>
              </w:rPr>
            </w:pPr>
            <w:r w:rsidRPr="009B525E">
              <w:rPr>
                <w:rFonts w:ascii="Calibri" w:hAnsi="Calibri"/>
                <w:sz w:val="24"/>
                <w:szCs w:val="24"/>
                <w:lang w:val="el-GR"/>
              </w:rPr>
              <w:t xml:space="preserve">Να είναι τελευταίας τεχνολογίας. </w:t>
            </w:r>
          </w:p>
          <w:p w:rsidR="001E649F" w:rsidRPr="009B525E" w:rsidRDefault="001E649F" w:rsidP="001E649F">
            <w:pPr>
              <w:pStyle w:val="ListParagraph"/>
              <w:numPr>
                <w:ilvl w:val="0"/>
                <w:numId w:val="2"/>
              </w:numPr>
              <w:tabs>
                <w:tab w:val="left" w:pos="284"/>
              </w:tabs>
              <w:ind w:left="284" w:hanging="284"/>
              <w:jc w:val="both"/>
              <w:rPr>
                <w:rFonts w:ascii="Calibri" w:hAnsi="Calibri"/>
                <w:sz w:val="24"/>
                <w:szCs w:val="24"/>
              </w:rPr>
            </w:pPr>
            <w:r w:rsidRPr="009B525E">
              <w:rPr>
                <w:rFonts w:ascii="Calibri" w:hAnsi="Calibri"/>
                <w:sz w:val="24"/>
                <w:szCs w:val="24"/>
              </w:rPr>
              <w:t>N</w:t>
            </w:r>
            <w:r w:rsidRPr="009B525E">
              <w:rPr>
                <w:rFonts w:ascii="Calibri" w:hAnsi="Calibri"/>
                <w:sz w:val="24"/>
                <w:szCs w:val="24"/>
                <w:lang w:val="el-GR"/>
              </w:rPr>
              <w:t>α</w:t>
            </w:r>
            <w:r w:rsidRPr="009B525E">
              <w:rPr>
                <w:rFonts w:ascii="Calibri" w:hAnsi="Calibri"/>
                <w:sz w:val="24"/>
                <w:szCs w:val="24"/>
              </w:rPr>
              <w:t xml:space="preserve"> </w:t>
            </w:r>
            <w:r w:rsidRPr="009B525E">
              <w:rPr>
                <w:rFonts w:ascii="Calibri" w:hAnsi="Calibri"/>
                <w:sz w:val="24"/>
                <w:szCs w:val="24"/>
                <w:lang w:val="el-GR"/>
              </w:rPr>
              <w:t>διαθέτει</w:t>
            </w:r>
            <w:r w:rsidRPr="009B525E">
              <w:rPr>
                <w:rFonts w:ascii="Calibri" w:hAnsi="Calibri"/>
                <w:sz w:val="24"/>
                <w:szCs w:val="24"/>
              </w:rPr>
              <w:t xml:space="preserve"> Declaration of Conformity.</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συμμορφώνεται με τα πρότυπα ασφάλειας της Ευρώπης: IEC 61010 and IEC 60825.</w:t>
            </w:r>
          </w:p>
        </w:tc>
        <w:tc>
          <w:tcPr>
            <w:tcW w:w="463" w:type="pct"/>
            <w:shd w:val="clear" w:color="auto" w:fill="auto"/>
          </w:tcPr>
          <w:p w:rsidR="001E649F" w:rsidRPr="001F15CF" w:rsidRDefault="001E649F" w:rsidP="00840779">
            <w:pPr>
              <w:jc w:val="center"/>
              <w:rPr>
                <w:sz w:val="24"/>
              </w:rPr>
            </w:pPr>
            <w:r w:rsidRPr="001F15CF">
              <w:rPr>
                <w:rFonts w:eastAsia="Calibri"/>
                <w:b/>
                <w:sz w:val="24"/>
              </w:rPr>
              <w:t>ΝΑΙ</w:t>
            </w:r>
          </w:p>
        </w:tc>
        <w:tc>
          <w:tcPr>
            <w:tcW w:w="540" w:type="pct"/>
            <w:shd w:val="clear" w:color="auto" w:fill="auto"/>
            <w:vAlign w:val="center"/>
          </w:tcPr>
          <w:p w:rsidR="001E649F" w:rsidRPr="001F15CF" w:rsidRDefault="001E649F" w:rsidP="00840779">
            <w:pPr>
              <w:jc w:val="center"/>
              <w:rPr>
                <w:rFonts w:eastAsia="Calibri"/>
                <w:b/>
                <w:sz w:val="24"/>
              </w:rPr>
            </w:pPr>
          </w:p>
        </w:tc>
        <w:tc>
          <w:tcPr>
            <w:tcW w:w="926" w:type="pct"/>
            <w:shd w:val="clear" w:color="auto" w:fill="auto"/>
            <w:vAlign w:val="center"/>
          </w:tcPr>
          <w:p w:rsidR="001E649F" w:rsidRPr="001F15CF" w:rsidRDefault="001E649F" w:rsidP="00840779">
            <w:pPr>
              <w:jc w:val="center"/>
              <w:rPr>
                <w:rFonts w:eastAsia="Calibri"/>
                <w:b/>
                <w:sz w:val="24"/>
              </w:rPr>
            </w:pPr>
          </w:p>
        </w:tc>
      </w:tr>
      <w:tr w:rsidR="001E649F" w:rsidRPr="001F15CF" w:rsidTr="00840779">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2</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Οπτικό σύστημα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φέρει τα εξής λέιζερ διέγερσης ή αντίστοιχα:</w:t>
            </w:r>
          </w:p>
          <w:p w:rsidR="001E649F" w:rsidRPr="001F15CF" w:rsidRDefault="001E649F" w:rsidP="001E649F">
            <w:pPr>
              <w:pStyle w:val="ListParagraph"/>
              <w:numPr>
                <w:ilvl w:val="0"/>
                <w:numId w:val="4"/>
              </w:numPr>
              <w:tabs>
                <w:tab w:val="left" w:pos="284"/>
              </w:tabs>
              <w:jc w:val="both"/>
              <w:rPr>
                <w:rFonts w:ascii="Calibri" w:hAnsi="Calibri"/>
                <w:sz w:val="24"/>
                <w:szCs w:val="24"/>
                <w:lang w:val="el-GR"/>
              </w:rPr>
            </w:pPr>
            <w:r w:rsidRPr="001F15CF">
              <w:rPr>
                <w:rFonts w:ascii="Calibri" w:hAnsi="Calibri"/>
                <w:sz w:val="24"/>
                <w:szCs w:val="24"/>
                <w:lang w:val="el-GR"/>
              </w:rPr>
              <w:t>πηγή λέιζερ με ισxύ εξόδου 20 mW και εκπομπή στα 488 nm.</w:t>
            </w:r>
          </w:p>
          <w:p w:rsidR="001E649F" w:rsidRPr="001F15CF" w:rsidRDefault="001E649F" w:rsidP="001E649F">
            <w:pPr>
              <w:pStyle w:val="ListParagraph"/>
              <w:numPr>
                <w:ilvl w:val="0"/>
                <w:numId w:val="4"/>
              </w:numPr>
              <w:tabs>
                <w:tab w:val="left" w:pos="284"/>
              </w:tabs>
              <w:jc w:val="both"/>
              <w:rPr>
                <w:rFonts w:ascii="Calibri" w:hAnsi="Calibri"/>
                <w:sz w:val="24"/>
                <w:szCs w:val="24"/>
                <w:lang w:val="el-GR"/>
              </w:rPr>
            </w:pPr>
            <w:r w:rsidRPr="001F15CF">
              <w:rPr>
                <w:rFonts w:ascii="Calibri" w:hAnsi="Calibri"/>
                <w:sz w:val="24"/>
                <w:szCs w:val="24"/>
                <w:lang w:val="el-GR"/>
              </w:rPr>
              <w:t>πηγή λέιζερ με ισxύ εξόδου 40 mW και εκπομπή στα 640 nm.</w:t>
            </w:r>
          </w:p>
          <w:p w:rsidR="001E649F" w:rsidRPr="001F15CF" w:rsidRDefault="001E649F" w:rsidP="001E649F">
            <w:pPr>
              <w:pStyle w:val="ListParagraph"/>
              <w:numPr>
                <w:ilvl w:val="0"/>
                <w:numId w:val="4"/>
              </w:numPr>
              <w:tabs>
                <w:tab w:val="left" w:pos="284"/>
              </w:tabs>
              <w:jc w:val="both"/>
              <w:rPr>
                <w:rFonts w:ascii="Calibri" w:hAnsi="Calibri"/>
                <w:sz w:val="24"/>
                <w:szCs w:val="24"/>
                <w:lang w:val="el-GR"/>
              </w:rPr>
            </w:pPr>
            <w:r w:rsidRPr="001F15CF">
              <w:rPr>
                <w:rFonts w:ascii="Calibri" w:hAnsi="Calibri"/>
                <w:sz w:val="24"/>
                <w:szCs w:val="24"/>
                <w:lang w:val="el-GR"/>
              </w:rPr>
              <w:t>πηγή λέιζερ με ισxύ εξόδου 40 mW και εκπομπή στα 405 nm.</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δέσμης φωτός να έχει μέγεθος: 9 ± 3 x 67 ± 5 μm ή αντίστοιχο.</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κυψελίδα ροής να βρίσκεται σε σταθερή ευθυγράμμιση με τις πηγές λέιζερ.</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Η κυψελίδα ροής να είναι από χαλαζία και συζευγμένη με γέλη στο οπτικό σύστημα συλλογής. Ο συγκεκριμένος σχεδιασμός να διασφαλίζει ότι οι δέσμες λέιζερ εστιάζoυν ακριβώς στη ροή του δείγματος.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Να μπορεί να επεξεργαστεί ταυτόχρονα 11 παραμέτρους: Πρόσθια σκέδαση (FSC), πλάγια σκέδαση (SSC) και 9 φθοριοχρώματα.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Το πρόγραμμα του αναλυτή να παρακολουθεί τα φίλτρα που είναι εγκατεστημένα στον αναλυτή ώστε να ελέγχεται η διαμόρφωση τους.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lastRenderedPageBreak/>
              <w:t>Να επιτρέπεται η αυτόματη διόρθωση αντιστάθμισης των φθορισμών (compensation).</w:t>
            </w:r>
          </w:p>
        </w:tc>
        <w:tc>
          <w:tcPr>
            <w:tcW w:w="463" w:type="pct"/>
            <w:shd w:val="clear" w:color="auto" w:fill="auto"/>
          </w:tcPr>
          <w:p w:rsidR="001E649F" w:rsidRPr="001F15CF" w:rsidRDefault="001E649F" w:rsidP="00840779">
            <w:pPr>
              <w:jc w:val="center"/>
              <w:rPr>
                <w:sz w:val="24"/>
              </w:rPr>
            </w:pPr>
            <w:r w:rsidRPr="001F15CF">
              <w:rPr>
                <w:rFonts w:eastAsia="Calibri"/>
                <w:b/>
                <w:sz w:val="24"/>
              </w:rPr>
              <w:lastRenderedPageBreak/>
              <w:t>ΝΑΙ</w:t>
            </w:r>
          </w:p>
        </w:tc>
        <w:tc>
          <w:tcPr>
            <w:tcW w:w="540" w:type="pct"/>
            <w:shd w:val="clear" w:color="auto" w:fill="auto"/>
            <w:vAlign w:val="center"/>
          </w:tcPr>
          <w:p w:rsidR="001E649F" w:rsidRPr="001F15CF" w:rsidRDefault="001E649F" w:rsidP="00840779">
            <w:pPr>
              <w:jc w:val="center"/>
              <w:rPr>
                <w:rFonts w:eastAsia="Calibri"/>
                <w:b/>
                <w:sz w:val="24"/>
                <w:lang w:val="el-GR"/>
              </w:rPr>
            </w:pPr>
          </w:p>
        </w:tc>
        <w:tc>
          <w:tcPr>
            <w:tcW w:w="926" w:type="pct"/>
            <w:shd w:val="clear" w:color="auto" w:fill="auto"/>
            <w:vAlign w:val="center"/>
          </w:tcPr>
          <w:p w:rsidR="001E649F" w:rsidRPr="001F15CF" w:rsidRDefault="001E649F" w:rsidP="00840779">
            <w:pPr>
              <w:jc w:val="center"/>
              <w:rPr>
                <w:rFonts w:eastAsia="Calibri"/>
                <w:b/>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lastRenderedPageBreak/>
              <w:t>3</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Υδροδυναμικό σύστημα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μπορούν να χρησιμοποιηθούν σωληνάρια των 5.0 ml από πολυστυρένιο ή από πολυπροπυλένιο.</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Ο έλεγχος θερμοκρασίας να ρυθμίζεται μέσω του λογισμικού: 4οC, 22o C, 37o C και 42o C.</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είναι εφικτή η ανακίνηση του δείγματος και να ρυθμίζεται μέσω του λογισμικού ώστε να διατηρεί το δείγμα συνεχώς σε εναιώρημα.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ροή του δείγματος να σταματάει αυτόματα όταν το σωληνάριο του δείγματος είναι άδειο.</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συνοδεύεται από ένα δοχείο από ανοξείδωτο ατσάλι, χωρητικότητας 10 λίτρων και να είναι αυτόκαστο και από ένα δοχείο απορριμμάτων από προπυλένιο και χωρητικότητας 10 λίτρων.</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Ο χρόνος από την  έναρξη του συστήματος έως το τρέξιμο του δείγματος: (εκκίνηση πηγών λέιζερ υγρών, βελτιστοποίηση ροής και ποιοτικός έλεγχος): να είναι &lt; 20 λεπτά.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Σε περίπτωση προβλήματος το ακροφύσιο να μπορεί να αφαιρεθεί και να ξανά τοποθετηθεί κατά τη διάρκεια της λειτουργίας του αναλυτή.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ροή σε περίπτωση αφαίρεσης του ακροφύσιου να μπορεί να βελτιστοποιηθεί σε ελάχιστο χρονικό διάστημα (&lt;3 λεπτά).</w:t>
            </w:r>
          </w:p>
        </w:tc>
        <w:tc>
          <w:tcPr>
            <w:tcW w:w="463" w:type="pct"/>
            <w:shd w:val="clear" w:color="auto" w:fill="auto"/>
          </w:tcPr>
          <w:p w:rsidR="001E649F" w:rsidRPr="001F15CF" w:rsidRDefault="001E649F" w:rsidP="00840779">
            <w:pPr>
              <w:jc w:val="center"/>
              <w:rPr>
                <w:sz w:val="24"/>
              </w:rPr>
            </w:pPr>
            <w:r w:rsidRPr="001F15CF">
              <w:rPr>
                <w:rFonts w:eastAsia="Calibri"/>
                <w:b/>
                <w:sz w:val="24"/>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4</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Φθορισμός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διαθέτει εξαιρετική ευαισθησία της τάξης των 120 ισοδύναμων μορίων διαλυτής φλουορεσκεΐνης (MESF FITC) και 30 ισοδύναμων μορίων διαλυτής φυκοερυθρίνης (MESF PE).</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ευαισθησία να δίνει τη δυνατότητα διαχωρισμού μονιμοποιημένων αιμοπεταλίων από το θόρυβο, την ταυτοποίηση των βακτηρίων και την ανίχνευση σφαιριδίων διαμέτρου 0,5 μm.</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Ο συντελεστής μεταβλητότητας πλήρους κορυφής (FPCV) να είναι: &lt;3,0%, κορυφή </w:t>
            </w:r>
            <w:r w:rsidRPr="001F15CF">
              <w:rPr>
                <w:rFonts w:ascii="Calibri" w:hAnsi="Calibri"/>
                <w:sz w:val="24"/>
                <w:szCs w:val="24"/>
                <w:lang w:val="el-GR"/>
              </w:rPr>
              <w:lastRenderedPageBreak/>
              <w:t>G0/G1 για πυρήνες ερυθροκυττάρων κοτόπουλου (CEN) που τους έχει γίνει χρώση με προπίδιο του ιωδίου (ΡΙ).</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u w:val="single"/>
                <w:lang w:val="el-GR"/>
              </w:rPr>
            </w:pPr>
            <w:r w:rsidRPr="001F15CF">
              <w:rPr>
                <w:rFonts w:ascii="Calibri" w:hAnsi="Calibri"/>
                <w:sz w:val="24"/>
                <w:szCs w:val="24"/>
                <w:lang w:val="el-GR"/>
              </w:rPr>
              <w:t>Γραμμικότητα φθορισμού: Αναλογία διπλού/ μονήρους: CEN με χρώση ΡΙ: 1,95-2,05.</w:t>
            </w:r>
          </w:p>
        </w:tc>
        <w:tc>
          <w:tcPr>
            <w:tcW w:w="463" w:type="pct"/>
            <w:shd w:val="clear" w:color="auto" w:fill="auto"/>
          </w:tcPr>
          <w:p w:rsidR="001E649F" w:rsidRPr="001F15CF" w:rsidRDefault="001E649F" w:rsidP="00840779">
            <w:pPr>
              <w:jc w:val="center"/>
              <w:rPr>
                <w:sz w:val="24"/>
              </w:rPr>
            </w:pPr>
            <w:r w:rsidRPr="001F15CF">
              <w:rPr>
                <w:rFonts w:eastAsia="Calibri"/>
                <w:b/>
                <w:sz w:val="24"/>
              </w:rPr>
              <w:lastRenderedPageBreak/>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lastRenderedPageBreak/>
              <w:t>5</w:t>
            </w:r>
          </w:p>
        </w:tc>
        <w:tc>
          <w:tcPr>
            <w:tcW w:w="2704" w:type="pct"/>
            <w:shd w:val="clear" w:color="auto" w:fill="auto"/>
            <w:vAlign w:val="center"/>
          </w:tcPr>
          <w:p w:rsidR="001E649F" w:rsidRPr="001F15CF" w:rsidRDefault="001E649F" w:rsidP="00840779">
            <w:pPr>
              <w:tabs>
                <w:tab w:val="left" w:pos="284"/>
              </w:tabs>
              <w:rPr>
                <w:b/>
                <w:sz w:val="24"/>
              </w:rPr>
            </w:pPr>
            <w:r w:rsidRPr="001F15CF">
              <w:rPr>
                <w:b/>
                <w:sz w:val="24"/>
                <w:lang w:val="el-GR"/>
              </w:rPr>
              <w:t>Διαχωρισμός, απόδοση και καθαρότητα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μπορεί να διαχωρίσει 34.000 σταγόνες ανά δευτερόλεπτο.</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Ο υπολογισμός και ο έλεγχος του χρόνου σχηματισμού της σταγόνας να πραγματοποιείται αυτόματα.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ρύθμιση, η βελτιστοποίηση, ο έλεγχος και η παρακολούθηση των πλάγιων ροών κυτταροδιαχωρισμού να πραγματοποιούνται αυτόματα.</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εντοπίζει αυτόματα οποιαδήποτε φραγή κατά τη διάρκεια της διαδικασίας.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Mε μέση τιμή 10.000 συμβάντα ανά δευτερόλεπτο και για κυτταροδιαχωρισμό δύο πληθυσμών να αναφερθεί το ποσοστό καθαρότητας και απόδοσης το οποίο να είναι τουλάχιστον &gt;80% με βάση την αναμενόμενη απόδοση κατά Poisson και για τους δυο πληθυσμούς. Κανένας περιορισμός να μην επιβάλλεται στον ρυθμό των γεγονότων (event rate). </w:t>
            </w:r>
          </w:p>
        </w:tc>
        <w:tc>
          <w:tcPr>
            <w:tcW w:w="463" w:type="pct"/>
            <w:shd w:val="clear" w:color="auto" w:fill="auto"/>
          </w:tcPr>
          <w:p w:rsidR="001E649F" w:rsidRPr="001F15CF" w:rsidRDefault="001E649F" w:rsidP="00840779">
            <w:pPr>
              <w:jc w:val="center"/>
              <w:rPr>
                <w:sz w:val="24"/>
              </w:rPr>
            </w:pPr>
            <w:r w:rsidRPr="001F15CF">
              <w:rPr>
                <w:rFonts w:eastAsia="Calibri"/>
                <w:b/>
                <w:sz w:val="24"/>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6</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Συστήματα διαλογής του κυτταροδιαχωρισμού</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Να μπορεί να διαχωρίσει τουλάχιστον δύο πληθυσμούς ταυτόχρονα και να υπάρχει δυνατότητα αναβάθμισης ώστε να μπορεί να διαχωρίσει έως και τέσσερις πληθυσμούς ταυτόχρονα.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μπορεί να γίνει διαλογή δύο πληθυσμών σε: μικροσωληνάρια 1.5 mL, 2 mL και 5 mL.</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μπορεί να γίνει διαλογή ενός πληθυσμού σε: μικροπλάκες 6, 24, 48, 96, και 384 θέσεων, σε PCR trays/σκαφίδια και σε αντικειμενοφόρους πλάκες.</w:t>
            </w:r>
          </w:p>
        </w:tc>
        <w:tc>
          <w:tcPr>
            <w:tcW w:w="463" w:type="pct"/>
            <w:shd w:val="clear" w:color="auto" w:fill="auto"/>
          </w:tcPr>
          <w:p w:rsidR="001E649F" w:rsidRPr="001F15CF" w:rsidRDefault="001E649F" w:rsidP="00840779">
            <w:pPr>
              <w:jc w:val="center"/>
              <w:rPr>
                <w:rFonts w:eastAsia="Calibri"/>
                <w:b/>
                <w:sz w:val="24"/>
                <w:lang w:val="el-GR"/>
              </w:rPr>
            </w:pPr>
            <w:r w:rsidRPr="001F15CF">
              <w:rPr>
                <w:rFonts w:eastAsia="Calibri"/>
                <w:b/>
                <w:sz w:val="24"/>
                <w:lang w:val="el-GR"/>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7</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 xml:space="preserve">Επεξεργασία σήματος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Να γίνονται μετρήσεις του ύψους (H), της περιοχής (A), και του πλάτους (W)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lastRenderedPageBreak/>
              <w:t>Το σύστημα να αναλύει 40.000 γεγονότα ανά δευτερόλεπτο, ανεξάρτητα από τον αριθμό των παραμέτρων.</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Ο χρόνος να μπορεί να συσχετιστεί με οποιαδήποτε παράμετρο για πειράματα κινητικής ή για άλλες εφαρμογές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 ουδός (threshold) να μπορεί να ορισθεί για οποιαδήποτε παράμετρο από οποιοδήποτε laser.</w:t>
            </w:r>
          </w:p>
        </w:tc>
        <w:tc>
          <w:tcPr>
            <w:tcW w:w="463" w:type="pct"/>
            <w:shd w:val="clear" w:color="auto" w:fill="auto"/>
          </w:tcPr>
          <w:p w:rsidR="001E649F" w:rsidRPr="001F15CF" w:rsidRDefault="001E649F" w:rsidP="00840779">
            <w:pPr>
              <w:jc w:val="center"/>
              <w:rPr>
                <w:sz w:val="24"/>
              </w:rPr>
            </w:pPr>
            <w:r w:rsidRPr="001F15CF">
              <w:rPr>
                <w:rFonts w:eastAsia="Calibri"/>
                <w:b/>
                <w:sz w:val="24"/>
              </w:rPr>
              <w:lastRenderedPageBreak/>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lastRenderedPageBreak/>
              <w:t>8</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Διαχείριση Δεδομένων</w:t>
            </w:r>
          </w:p>
          <w:p w:rsidR="001E649F" w:rsidRPr="001F15CF" w:rsidRDefault="001E649F" w:rsidP="00840779">
            <w:pPr>
              <w:tabs>
                <w:tab w:val="left" w:pos="284"/>
              </w:tabs>
              <w:rPr>
                <w:sz w:val="24"/>
                <w:lang w:val="el-GR"/>
              </w:rPr>
            </w:pPr>
            <w:r w:rsidRPr="001F15CF">
              <w:rPr>
                <w:sz w:val="24"/>
                <w:lang w:val="el-GR"/>
              </w:rPr>
              <w:t xml:space="preserve">Οι λειτουργίες του κυτταροδιαχωριστή να ελέγχονται πλήρως από υπολογιστή με τουλάχιστον τα εξής χαρακτηριστικά: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Ηλεκτρονικός Υπολογιστής: Business PC: Intel® 2.8G CPU Quad Core™ i7, Microsoft® Windows® 10 64-bit σύστημα λειτουργίας.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Μνήμη: 8 GB RAM. </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Αποθήκευση δεδομένων: 500 GB σκληρός δίσκος.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Οθόνη: 23-inch LCD με 1920 x 1080 ανάλυση.</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Εκτυπωτής: Εκτυπωτής δικτύου inkjet ή laser έγχρωμος.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Λογισμικό Πρόγραμμα: Εξειδικευμένο λογισμικό λειτουργίας του συστήματος στην πιο πρόσφατη έκδοση.</w:t>
            </w:r>
          </w:p>
        </w:tc>
        <w:tc>
          <w:tcPr>
            <w:tcW w:w="463" w:type="pct"/>
            <w:shd w:val="clear" w:color="auto" w:fill="auto"/>
          </w:tcPr>
          <w:p w:rsidR="001E649F" w:rsidRPr="001F15CF" w:rsidRDefault="001E649F" w:rsidP="00840779">
            <w:pPr>
              <w:jc w:val="center"/>
              <w:rPr>
                <w:sz w:val="24"/>
                <w:lang w:val="el-GR"/>
              </w:rPr>
            </w:pPr>
            <w:r w:rsidRPr="001F15CF">
              <w:rPr>
                <w:rFonts w:eastAsia="Calibri"/>
                <w:b/>
                <w:sz w:val="24"/>
                <w:lang w:val="el-GR"/>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9</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Έλεγχος θερμοκρασίας δείγματος</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Να μπορεί να αναβαθμιστεί με μονάδα επανακυκλοφορίας νερού για να θερμαίνουν ή να ψύχουν τα σωληνάρια, τις πλάκες πολλαπλών θέσεων και τις αντικειμενοφόρους πλάκες κατά το διαχωρισμό.</w:t>
            </w:r>
          </w:p>
        </w:tc>
        <w:tc>
          <w:tcPr>
            <w:tcW w:w="463" w:type="pct"/>
            <w:shd w:val="clear" w:color="auto" w:fill="auto"/>
          </w:tcPr>
          <w:p w:rsidR="001E649F" w:rsidRPr="001F15CF" w:rsidRDefault="001E649F" w:rsidP="00840779">
            <w:pPr>
              <w:jc w:val="center"/>
              <w:rPr>
                <w:sz w:val="24"/>
              </w:rPr>
            </w:pPr>
            <w:r w:rsidRPr="001F15CF">
              <w:rPr>
                <w:rFonts w:eastAsia="Calibri"/>
                <w:b/>
                <w:sz w:val="24"/>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10</w:t>
            </w:r>
          </w:p>
        </w:tc>
        <w:tc>
          <w:tcPr>
            <w:tcW w:w="2704" w:type="pct"/>
            <w:shd w:val="clear" w:color="auto" w:fill="auto"/>
            <w:vAlign w:val="center"/>
          </w:tcPr>
          <w:p w:rsidR="001E649F" w:rsidRPr="001F15CF" w:rsidRDefault="001E649F" w:rsidP="00840779">
            <w:pPr>
              <w:tabs>
                <w:tab w:val="left" w:pos="284"/>
              </w:tabs>
              <w:rPr>
                <w:sz w:val="24"/>
                <w:lang w:val="el-GR"/>
              </w:rPr>
            </w:pPr>
            <w:r w:rsidRPr="001F15CF">
              <w:rPr>
                <w:b/>
                <w:sz w:val="24"/>
                <w:lang w:val="el-GR"/>
              </w:rPr>
              <w:t xml:space="preserve">Κλάσης </w:t>
            </w:r>
            <w:r w:rsidRPr="001F15CF">
              <w:rPr>
                <w:b/>
                <w:sz w:val="24"/>
              </w:rPr>
              <w:t>II</w:t>
            </w:r>
            <w:r w:rsidRPr="001F15CF">
              <w:rPr>
                <w:b/>
                <w:sz w:val="24"/>
                <w:lang w:val="el-GR"/>
              </w:rPr>
              <w:t xml:space="preserve"> Τύπου Α2 βιολογικής ασφάλειας καμπίνα (</w:t>
            </w:r>
            <w:r w:rsidRPr="001F15CF">
              <w:rPr>
                <w:b/>
                <w:sz w:val="24"/>
              </w:rPr>
              <w:t>BSC</w:t>
            </w:r>
            <w:r w:rsidRPr="001F15CF">
              <w:rPr>
                <w:b/>
                <w:sz w:val="24"/>
                <w:lang w:val="el-GR"/>
              </w:rPr>
              <w:t>)</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Ο κυτταροδιαχωριστής να συνοδεύεται από ειδικά διαμορφωμένο θάλαμο νηματικής ροής Κλάσης II, Τύπου A2 βιολογικής ασφάλειας επιβεβαιωμένης για να πληροί τα πρότυπα ασφαλείας του προσωπικού και των προϊόντων για Κλάσης II, Τύπου A2.</w:t>
            </w:r>
          </w:p>
        </w:tc>
        <w:tc>
          <w:tcPr>
            <w:tcW w:w="463" w:type="pct"/>
            <w:shd w:val="clear" w:color="auto" w:fill="auto"/>
          </w:tcPr>
          <w:p w:rsidR="001E649F" w:rsidRPr="001F15CF" w:rsidRDefault="001E649F" w:rsidP="00840779">
            <w:pPr>
              <w:jc w:val="center"/>
              <w:rPr>
                <w:sz w:val="24"/>
              </w:rPr>
            </w:pPr>
            <w:r w:rsidRPr="001F15CF">
              <w:rPr>
                <w:rFonts w:eastAsia="Calibri"/>
                <w:b/>
                <w:sz w:val="24"/>
              </w:rPr>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8E5A6B"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p>
        </w:tc>
        <w:tc>
          <w:tcPr>
            <w:tcW w:w="2704" w:type="pct"/>
            <w:shd w:val="clear" w:color="auto" w:fill="auto"/>
            <w:vAlign w:val="center"/>
          </w:tcPr>
          <w:p w:rsidR="001E649F" w:rsidRPr="008E5A6B" w:rsidRDefault="001E649F" w:rsidP="001E649F">
            <w:pPr>
              <w:numPr>
                <w:ilvl w:val="0"/>
                <w:numId w:val="1"/>
              </w:numPr>
              <w:rPr>
                <w:sz w:val="24"/>
                <w:lang w:val="el-GR" w:eastAsia="el-GR"/>
              </w:rPr>
            </w:pPr>
            <w:r w:rsidRPr="008E5A6B">
              <w:rPr>
                <w:sz w:val="24"/>
                <w:lang w:val="el-GR" w:eastAsia="el-GR"/>
              </w:rPr>
              <w:t xml:space="preserve">O αναλυτής να συνοδεύεται και από σύστημα για μαγνητικό διαχωρισμό κυττάρων χωρίς στήλες, το οποίο να μπορεί </w:t>
            </w:r>
            <w:r w:rsidRPr="008E5A6B">
              <w:rPr>
                <w:sz w:val="24"/>
                <w:lang w:val="el-GR" w:eastAsia="el-GR"/>
              </w:rPr>
              <w:lastRenderedPageBreak/>
              <w:t>να πραγματοποιήσει θετική ή αρνητική επιλογή των επιθυμητών κυττάρων.</w:t>
            </w:r>
          </w:p>
          <w:p w:rsidR="001E649F" w:rsidRPr="001F15CF" w:rsidRDefault="001E649F" w:rsidP="00840779">
            <w:pPr>
              <w:tabs>
                <w:tab w:val="left" w:pos="284"/>
              </w:tabs>
              <w:rPr>
                <w:b/>
                <w:sz w:val="24"/>
                <w:lang w:val="el-GR"/>
              </w:rPr>
            </w:pPr>
          </w:p>
        </w:tc>
        <w:tc>
          <w:tcPr>
            <w:tcW w:w="463" w:type="pct"/>
            <w:shd w:val="clear" w:color="auto" w:fill="auto"/>
          </w:tcPr>
          <w:p w:rsidR="001E649F" w:rsidRPr="008E5A6B" w:rsidRDefault="001E649F" w:rsidP="00840779">
            <w:pPr>
              <w:jc w:val="center"/>
              <w:rPr>
                <w:rFonts w:eastAsia="Calibri"/>
                <w:b/>
                <w:sz w:val="24"/>
                <w:lang w:val="el-GR"/>
              </w:rPr>
            </w:pPr>
            <w:r>
              <w:rPr>
                <w:rFonts w:eastAsia="Calibri"/>
                <w:b/>
                <w:sz w:val="24"/>
                <w:lang w:val="el-GR"/>
              </w:rPr>
              <w:lastRenderedPageBreak/>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r w:rsidR="001E649F" w:rsidRPr="001F15CF" w:rsidTr="00840779">
        <w:trPr>
          <w:trHeight w:val="274"/>
        </w:trPr>
        <w:tc>
          <w:tcPr>
            <w:tcW w:w="367"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lastRenderedPageBreak/>
              <w:t>11</w:t>
            </w:r>
          </w:p>
        </w:tc>
        <w:tc>
          <w:tcPr>
            <w:tcW w:w="2704" w:type="pct"/>
            <w:shd w:val="clear" w:color="auto" w:fill="auto"/>
            <w:vAlign w:val="center"/>
          </w:tcPr>
          <w:p w:rsidR="001E649F" w:rsidRPr="001F15CF" w:rsidRDefault="001E649F" w:rsidP="00840779">
            <w:pPr>
              <w:tabs>
                <w:tab w:val="left" w:pos="284"/>
              </w:tabs>
              <w:rPr>
                <w:b/>
                <w:sz w:val="24"/>
                <w:lang w:val="el-GR"/>
              </w:rPr>
            </w:pPr>
            <w:r w:rsidRPr="001F15CF">
              <w:rPr>
                <w:b/>
                <w:sz w:val="24"/>
                <w:lang w:val="el-GR"/>
              </w:rPr>
              <w:t>Υποστήριξη</w:t>
            </w:r>
          </w:p>
          <w:p w:rsidR="001E649F" w:rsidRPr="001F15C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F15CF">
              <w:rPr>
                <w:rFonts w:ascii="Calibri" w:hAnsi="Calibri"/>
                <w:sz w:val="24"/>
                <w:szCs w:val="24"/>
                <w:lang w:val="el-GR"/>
              </w:rPr>
              <w:t xml:space="preserve">Η εμπειρία του προσωπικού της εταιρίας, τόσο στην </w:t>
            </w:r>
            <w:r w:rsidRPr="00141590">
              <w:rPr>
                <w:rFonts w:ascii="Calibri" w:hAnsi="Calibri"/>
                <w:b/>
                <w:sz w:val="24"/>
                <w:szCs w:val="24"/>
                <w:lang w:val="el-GR"/>
              </w:rPr>
              <w:t>τεχνική υποστήριξη</w:t>
            </w:r>
            <w:r w:rsidRPr="001F15CF">
              <w:rPr>
                <w:rFonts w:ascii="Calibri" w:hAnsi="Calibri"/>
                <w:sz w:val="24"/>
                <w:szCs w:val="24"/>
                <w:lang w:val="el-GR"/>
              </w:rPr>
              <w:t xml:space="preserve"> όσο και στην </w:t>
            </w:r>
            <w:r w:rsidRPr="00141590">
              <w:rPr>
                <w:rFonts w:ascii="Calibri" w:hAnsi="Calibri"/>
                <w:b/>
                <w:sz w:val="24"/>
                <w:szCs w:val="24"/>
                <w:lang w:val="el-GR"/>
              </w:rPr>
              <w:t>επιστημονική υποστήριξη</w:t>
            </w:r>
            <w:r w:rsidRPr="001F15CF">
              <w:rPr>
                <w:rFonts w:ascii="Calibri" w:hAnsi="Calibri"/>
                <w:sz w:val="24"/>
                <w:szCs w:val="24"/>
                <w:lang w:val="el-GR"/>
              </w:rPr>
              <w:t xml:space="preserve"> να επιβεβαιώνεται και από τον αριθμό των κυτταροδιαχωριστών σε εργαστήρια. Να κατατεθεί λίστα εγκατεστημένων κυτταροδιαχωριστών που βρίσκονται σε λειτουργία</w:t>
            </w:r>
            <w:r>
              <w:rPr>
                <w:rFonts w:ascii="Calibri" w:hAnsi="Calibri"/>
                <w:sz w:val="24"/>
                <w:szCs w:val="24"/>
                <w:lang w:val="el-GR"/>
              </w:rPr>
              <w:t xml:space="preserve"> με αναφορά στο εργαστήριο.</w:t>
            </w:r>
          </w:p>
          <w:p w:rsidR="001E649F" w:rsidRPr="0084661D" w:rsidRDefault="001E649F" w:rsidP="001E649F">
            <w:pPr>
              <w:pStyle w:val="ListParagraph"/>
              <w:numPr>
                <w:ilvl w:val="0"/>
                <w:numId w:val="1"/>
              </w:numPr>
              <w:spacing w:after="120"/>
              <w:jc w:val="both"/>
              <w:rPr>
                <w:rFonts w:ascii="Calibri" w:hAnsi="Calibri"/>
                <w:sz w:val="24"/>
                <w:szCs w:val="24"/>
                <w:lang w:val="el-GR" w:eastAsia="en-GB"/>
              </w:rPr>
            </w:pPr>
            <w:r w:rsidRPr="0084661D">
              <w:rPr>
                <w:rFonts w:ascii="Calibri" w:hAnsi="Calibri"/>
                <w:sz w:val="24"/>
                <w:szCs w:val="24"/>
                <w:lang w:val="el-GR"/>
              </w:rPr>
              <w:t xml:space="preserve">Για την αξιολόγηση των ζητούμενων προδιαγραφών του κυτταροδιαχωριστή, θα πρέπει να ολοκληρωθεί επίσκεψη τουλάχιστον 2 ατόμων σε αντίστοιχο εργαστήριο όπου θα πραγματοποιηθεί ολοκληρωμένη διαδικασία κυτταροδιαχωρισμού σε όποιο </w:t>
            </w:r>
            <w:r w:rsidRPr="0084661D">
              <w:rPr>
                <w:rFonts w:ascii="Calibri" w:hAnsi="Calibri"/>
                <w:sz w:val="24"/>
                <w:szCs w:val="24"/>
              </w:rPr>
              <w:t> </w:t>
            </w:r>
            <w:r w:rsidRPr="0084661D">
              <w:rPr>
                <w:rFonts w:ascii="Calibri" w:hAnsi="Calibri"/>
                <w:sz w:val="24"/>
                <w:szCs w:val="24"/>
                <w:lang w:val="el-GR"/>
              </w:rPr>
              <w:t>πάνελ ζητήσει το εργαστήριο. Τα έξοδα του προσωπικού σε περίπτωση που το εργαστήριο βρίσκεται εκτός Ελλάδος και τα αντιδραστήρια θα καλυφθούν από την προσφέρουσα εταιρία. Να αναφερθεί το εργαστήριο.</w:t>
            </w:r>
          </w:p>
          <w:p w:rsidR="001E649F" w:rsidRPr="0084661D" w:rsidRDefault="001E649F" w:rsidP="001E649F">
            <w:pPr>
              <w:pStyle w:val="ListParagraph"/>
              <w:numPr>
                <w:ilvl w:val="0"/>
                <w:numId w:val="1"/>
              </w:numPr>
              <w:spacing w:after="120"/>
              <w:jc w:val="both"/>
              <w:rPr>
                <w:rFonts w:ascii="Calibri" w:hAnsi="Calibri"/>
                <w:strike/>
                <w:sz w:val="24"/>
                <w:szCs w:val="24"/>
                <w:lang w:val="el-GR" w:eastAsia="en-GB"/>
              </w:rPr>
            </w:pPr>
            <w:r w:rsidRPr="0084661D">
              <w:rPr>
                <w:rFonts w:ascii="Calibri" w:hAnsi="Calibri"/>
                <w:b/>
                <w:sz w:val="24"/>
                <w:szCs w:val="24"/>
                <w:lang w:val="el-GR"/>
              </w:rPr>
              <w:t>Παροχή εκπαίδευσης</w:t>
            </w:r>
            <w:r w:rsidRPr="0084661D">
              <w:rPr>
                <w:rFonts w:ascii="Calibri" w:hAnsi="Calibri"/>
                <w:sz w:val="24"/>
                <w:szCs w:val="24"/>
                <w:lang w:val="el-GR"/>
              </w:rPr>
              <w:t xml:space="preserve"> σε  εκπαιδευτικό κέντρο της μητρικής εταιρίας στο εξωτερικό.</w:t>
            </w:r>
          </w:p>
          <w:p w:rsidR="001E649F" w:rsidRPr="00141590"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84661D">
              <w:rPr>
                <w:rFonts w:ascii="Calibri" w:hAnsi="Calibri"/>
                <w:b/>
                <w:sz w:val="24"/>
                <w:szCs w:val="24"/>
                <w:lang w:val="el-GR"/>
              </w:rPr>
              <w:t xml:space="preserve"> Παροχή συνεχόμενης εκπαίδευσης και υποστήριξης</w:t>
            </w:r>
            <w:r w:rsidRPr="0084661D">
              <w:rPr>
                <w:rFonts w:ascii="Calibri" w:hAnsi="Calibri"/>
                <w:sz w:val="24"/>
                <w:szCs w:val="24"/>
                <w:lang w:val="el-GR"/>
              </w:rPr>
              <w:t xml:space="preserve"> σε εφαρμογές του συστήματος</w:t>
            </w:r>
            <w:r w:rsidRPr="00141590">
              <w:rPr>
                <w:rFonts w:ascii="Calibri" w:hAnsi="Calibri"/>
                <w:sz w:val="24"/>
                <w:szCs w:val="24"/>
                <w:lang w:val="el-GR"/>
              </w:rPr>
              <w:t xml:space="preserve"> από άρτια εκπαιδευμένο προσωπικό της εταιρίας. Να κατατεθούν τα πιστοποιητικά εκπαίδευσης του προσωπικού, τόσο σε αναλυτές κυτταροδιαχωρισμού όσο και σε αναλυτές κυτταρομετρίας.</w:t>
            </w:r>
          </w:p>
          <w:p w:rsidR="001E649F"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141590">
              <w:rPr>
                <w:rFonts w:ascii="Calibri" w:hAnsi="Calibri"/>
                <w:b/>
                <w:sz w:val="24"/>
                <w:szCs w:val="24"/>
                <w:lang w:val="el-GR"/>
              </w:rPr>
              <w:t>Παροχή συνεχόμενης</w:t>
            </w:r>
            <w:r w:rsidRPr="001F15CF">
              <w:rPr>
                <w:rFonts w:ascii="Calibri" w:hAnsi="Calibri"/>
                <w:sz w:val="24"/>
                <w:szCs w:val="24"/>
                <w:lang w:val="el-GR"/>
              </w:rPr>
              <w:t xml:space="preserve"> </w:t>
            </w:r>
            <w:r w:rsidRPr="00141590">
              <w:rPr>
                <w:rFonts w:ascii="Calibri" w:hAnsi="Calibri"/>
                <w:b/>
                <w:sz w:val="24"/>
                <w:szCs w:val="24"/>
                <w:lang w:val="el-GR"/>
              </w:rPr>
              <w:t>τεχνικής υποστήριξης</w:t>
            </w:r>
            <w:r w:rsidRPr="001F15CF">
              <w:rPr>
                <w:rFonts w:ascii="Calibri" w:hAnsi="Calibri"/>
                <w:sz w:val="24"/>
                <w:szCs w:val="24"/>
                <w:lang w:val="el-GR"/>
              </w:rPr>
              <w:t xml:space="preserve"> για την </w:t>
            </w:r>
            <w:r w:rsidRPr="00141590">
              <w:rPr>
                <w:rFonts w:ascii="Calibri" w:hAnsi="Calibri"/>
                <w:b/>
                <w:sz w:val="24"/>
                <w:szCs w:val="24"/>
                <w:lang w:val="el-GR"/>
              </w:rPr>
              <w:t>προληπτική συντήρηση</w:t>
            </w:r>
            <w:r w:rsidRPr="001F15CF">
              <w:rPr>
                <w:rFonts w:ascii="Calibri" w:hAnsi="Calibri"/>
                <w:sz w:val="24"/>
                <w:szCs w:val="24"/>
                <w:lang w:val="el-GR"/>
              </w:rPr>
              <w:t xml:space="preserve"> και για την </w:t>
            </w:r>
            <w:r w:rsidRPr="00141590">
              <w:rPr>
                <w:rFonts w:ascii="Calibri" w:hAnsi="Calibri"/>
                <w:b/>
                <w:sz w:val="24"/>
                <w:szCs w:val="24"/>
                <w:lang w:val="el-GR"/>
              </w:rPr>
              <w:t>αποκατάσταση βλαβών</w:t>
            </w:r>
            <w:r w:rsidRPr="001F15CF">
              <w:rPr>
                <w:rFonts w:ascii="Calibri" w:hAnsi="Calibri"/>
                <w:sz w:val="24"/>
                <w:szCs w:val="24"/>
                <w:lang w:val="el-GR"/>
              </w:rPr>
              <w:t xml:space="preserve">, από άρτια εκπαιδευμένο προσωπικό της εταιρίας. Να κατατεθούν τα </w:t>
            </w:r>
            <w:r w:rsidRPr="00141590">
              <w:rPr>
                <w:rFonts w:ascii="Calibri" w:hAnsi="Calibri"/>
                <w:b/>
                <w:sz w:val="24"/>
                <w:szCs w:val="24"/>
                <w:lang w:val="el-GR"/>
              </w:rPr>
              <w:t>πιστοποιητικά εκπαίδευσης</w:t>
            </w:r>
            <w:r w:rsidRPr="001F15CF">
              <w:rPr>
                <w:rFonts w:ascii="Calibri" w:hAnsi="Calibri"/>
                <w:sz w:val="24"/>
                <w:szCs w:val="24"/>
                <w:lang w:val="el-GR"/>
              </w:rPr>
              <w:t xml:space="preserve"> του προσωπικού, τόσο σε αναλυτές κυτταροδιαχωρισμού όσο και σε αναλυτές κυτταρομετρίας.</w:t>
            </w:r>
          </w:p>
          <w:p w:rsidR="001E649F" w:rsidRPr="0084661D"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84661D">
              <w:rPr>
                <w:rFonts w:ascii="Calibri" w:hAnsi="Calibri"/>
                <w:sz w:val="24"/>
                <w:szCs w:val="24"/>
                <w:lang w:val="el-GR"/>
              </w:rPr>
              <w:t>Σε περίπτωση τεχνικής βλάβης θα πρέπει να υπάρχει η δυνατότητα ανταπόκρισης εντός 24ώρου από την γραπτή ζήτηση του εργαστηρίου</w:t>
            </w:r>
          </w:p>
          <w:p w:rsidR="001E649F" w:rsidRPr="0084661D" w:rsidRDefault="001E649F" w:rsidP="001E649F">
            <w:pPr>
              <w:pStyle w:val="ListParagraph"/>
              <w:numPr>
                <w:ilvl w:val="0"/>
                <w:numId w:val="2"/>
              </w:numPr>
              <w:tabs>
                <w:tab w:val="left" w:pos="284"/>
              </w:tabs>
              <w:ind w:left="284" w:hanging="284"/>
              <w:jc w:val="both"/>
              <w:rPr>
                <w:rFonts w:ascii="Calibri" w:hAnsi="Calibri"/>
                <w:sz w:val="24"/>
                <w:szCs w:val="24"/>
                <w:lang w:val="el-GR"/>
              </w:rPr>
            </w:pPr>
            <w:r w:rsidRPr="0084661D">
              <w:rPr>
                <w:rFonts w:ascii="Calibri" w:hAnsi="Calibri"/>
                <w:sz w:val="24"/>
                <w:szCs w:val="24"/>
                <w:lang w:val="el-GR"/>
              </w:rPr>
              <w:lastRenderedPageBreak/>
              <w:t xml:space="preserve">Η ολοκλήρωση της παράδοσης θα γίνει μετά την </w:t>
            </w:r>
            <w:r w:rsidRPr="0084661D">
              <w:rPr>
                <w:rFonts w:ascii="Calibri" w:hAnsi="Calibri"/>
                <w:b/>
                <w:sz w:val="24"/>
                <w:szCs w:val="24"/>
                <w:lang w:val="el-GR"/>
              </w:rPr>
              <w:t>πιστοποίηση της ορθής λειτουργίας</w:t>
            </w:r>
            <w:r w:rsidRPr="0084661D">
              <w:rPr>
                <w:rFonts w:ascii="Calibri" w:hAnsi="Calibri"/>
                <w:sz w:val="24"/>
                <w:szCs w:val="24"/>
                <w:lang w:val="el-GR"/>
              </w:rPr>
              <w:t xml:space="preserve"> του κυτταροδιαχωριστή, από τον τεχνικό της εταιρίας.</w:t>
            </w:r>
          </w:p>
          <w:p w:rsidR="001E649F" w:rsidRPr="0084661D" w:rsidRDefault="001E649F" w:rsidP="001E649F">
            <w:pPr>
              <w:pStyle w:val="ListParagraph"/>
              <w:numPr>
                <w:ilvl w:val="0"/>
                <w:numId w:val="1"/>
              </w:numPr>
              <w:spacing w:after="120"/>
              <w:jc w:val="both"/>
              <w:rPr>
                <w:rFonts w:ascii="Calibri" w:hAnsi="Calibri"/>
                <w:sz w:val="24"/>
                <w:szCs w:val="24"/>
                <w:lang w:val="el-GR"/>
              </w:rPr>
            </w:pPr>
            <w:r w:rsidRPr="0084661D">
              <w:rPr>
                <w:rFonts w:ascii="Calibri" w:hAnsi="Calibri"/>
                <w:sz w:val="24"/>
                <w:szCs w:val="24"/>
                <w:lang w:val="el-GR"/>
              </w:rPr>
              <w:t xml:space="preserve">Να δοθεί </w:t>
            </w:r>
            <w:r w:rsidRPr="0084661D">
              <w:rPr>
                <w:rFonts w:ascii="Calibri" w:hAnsi="Calibri"/>
                <w:b/>
                <w:sz w:val="24"/>
                <w:szCs w:val="24"/>
                <w:lang w:val="el-GR"/>
              </w:rPr>
              <w:t>εγγύηση καλής λειτουργίας</w:t>
            </w:r>
            <w:r w:rsidRPr="0084661D">
              <w:rPr>
                <w:rFonts w:ascii="Calibri" w:hAnsi="Calibri"/>
                <w:sz w:val="24"/>
                <w:szCs w:val="24"/>
                <w:lang w:val="el-GR"/>
              </w:rPr>
              <w:t xml:space="preserve"> για ένα (1) τουλάχιστον έτος.</w:t>
            </w:r>
          </w:p>
          <w:p w:rsidR="001E649F" w:rsidRPr="001F15CF" w:rsidRDefault="001E649F" w:rsidP="00840779">
            <w:pPr>
              <w:pStyle w:val="ListParagraph"/>
              <w:tabs>
                <w:tab w:val="left" w:pos="284"/>
              </w:tabs>
              <w:ind w:left="284"/>
              <w:jc w:val="both"/>
              <w:rPr>
                <w:rFonts w:ascii="Calibri" w:hAnsi="Calibri"/>
                <w:sz w:val="24"/>
                <w:szCs w:val="24"/>
                <w:lang w:val="el-GR"/>
              </w:rPr>
            </w:pPr>
          </w:p>
        </w:tc>
        <w:tc>
          <w:tcPr>
            <w:tcW w:w="463" w:type="pct"/>
            <w:shd w:val="clear" w:color="auto" w:fill="auto"/>
          </w:tcPr>
          <w:p w:rsidR="001E649F" w:rsidRPr="008E5A6B" w:rsidRDefault="001E649F" w:rsidP="00840779">
            <w:pPr>
              <w:jc w:val="center"/>
              <w:rPr>
                <w:b/>
                <w:sz w:val="24"/>
              </w:rPr>
            </w:pPr>
            <w:r w:rsidRPr="008E5A6B">
              <w:rPr>
                <w:rFonts w:eastAsia="Calibri"/>
                <w:b/>
                <w:sz w:val="24"/>
              </w:rPr>
              <w:lastRenderedPageBreak/>
              <w:t>ΝΑΙ</w:t>
            </w:r>
          </w:p>
        </w:tc>
        <w:tc>
          <w:tcPr>
            <w:tcW w:w="540" w:type="pct"/>
            <w:shd w:val="clear" w:color="auto" w:fill="auto"/>
            <w:vAlign w:val="center"/>
          </w:tcPr>
          <w:p w:rsidR="001E649F" w:rsidRPr="001F15CF" w:rsidRDefault="001E649F" w:rsidP="00840779">
            <w:pPr>
              <w:jc w:val="center"/>
              <w:rPr>
                <w:rFonts w:eastAsia="Calibri"/>
                <w:sz w:val="24"/>
                <w:lang w:val="el-GR"/>
              </w:rPr>
            </w:pPr>
          </w:p>
        </w:tc>
        <w:tc>
          <w:tcPr>
            <w:tcW w:w="926" w:type="pct"/>
            <w:shd w:val="clear" w:color="auto" w:fill="auto"/>
            <w:vAlign w:val="center"/>
          </w:tcPr>
          <w:p w:rsidR="001E649F" w:rsidRPr="001F15CF" w:rsidRDefault="001E649F" w:rsidP="00840779">
            <w:pPr>
              <w:jc w:val="center"/>
              <w:rPr>
                <w:rFonts w:eastAsia="Calibri"/>
                <w:sz w:val="24"/>
                <w:lang w:val="el-GR"/>
              </w:rPr>
            </w:pPr>
          </w:p>
        </w:tc>
      </w:tr>
    </w:tbl>
    <w:p w:rsidR="001E649F" w:rsidRPr="001F15CF" w:rsidRDefault="001E649F" w:rsidP="001E649F">
      <w:pPr>
        <w:suppressAutoHyphens w:val="0"/>
        <w:autoSpaceDE w:val="0"/>
        <w:rPr>
          <w:rFonts w:eastAsia="SimSun"/>
          <w:sz w:val="24"/>
          <w:lang w:val="el-GR"/>
        </w:rPr>
      </w:pPr>
    </w:p>
    <w:p w:rsidR="001E649F" w:rsidRPr="001F15CF" w:rsidRDefault="001E649F" w:rsidP="001E649F">
      <w:pPr>
        <w:suppressAutoHyphens w:val="0"/>
        <w:autoSpaceDE w:val="0"/>
        <w:rPr>
          <w:rFonts w:eastAsia="SimSun"/>
          <w:sz w:val="24"/>
          <w:lang w:val="el-GR"/>
        </w:rPr>
      </w:pPr>
    </w:p>
    <w:p w:rsidR="001E649F" w:rsidRPr="001F15CF" w:rsidRDefault="001E649F" w:rsidP="001E649F">
      <w:pPr>
        <w:suppressAutoHyphens w:val="0"/>
        <w:autoSpaceDE w:val="0"/>
        <w:rPr>
          <w:rFonts w:eastAsia="SimSun"/>
          <w:sz w:val="24"/>
          <w:lang w:val="el-GR"/>
        </w:rPr>
      </w:pPr>
    </w:p>
    <w:p w:rsidR="001E649F" w:rsidRDefault="001E649F" w:rsidP="001E649F">
      <w:pPr>
        <w:rPr>
          <w:b/>
          <w:sz w:val="24"/>
          <w:lang w:val="el-GR"/>
        </w:rPr>
      </w:pPr>
    </w:p>
    <w:p w:rsidR="001E649F" w:rsidRPr="00E94B94" w:rsidRDefault="001E649F" w:rsidP="001E649F">
      <w:pPr>
        <w:rPr>
          <w:b/>
          <w:sz w:val="24"/>
          <w:lang w:val="el-GR"/>
        </w:rPr>
      </w:pPr>
      <w:r w:rsidRPr="003076B6">
        <w:rPr>
          <w:b/>
          <w:sz w:val="24"/>
          <w:lang w:val="el-GR"/>
        </w:rPr>
        <w:t>ΤΜΗΜΑ 2.  Σύστημα μέτρησης κατανομής μεγέθους σωματιδίων και συγκέντρωσης με Nanoparticle Tracking Analysis.</w:t>
      </w:r>
    </w:p>
    <w:p w:rsidR="001E649F" w:rsidRPr="001F15CF" w:rsidRDefault="001E649F" w:rsidP="001E649F">
      <w:pPr>
        <w:suppressAutoHyphens w:val="0"/>
        <w:autoSpaceDE w:val="0"/>
        <w:rPr>
          <w:rFonts w:eastAsia="SimSun"/>
          <w:sz w:val="24"/>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984"/>
        <w:gridCol w:w="727"/>
        <w:gridCol w:w="1071"/>
        <w:gridCol w:w="1621"/>
      </w:tblGrid>
      <w:tr w:rsidR="001E649F" w:rsidRPr="001F15CF" w:rsidTr="00840779">
        <w:trPr>
          <w:trHeight w:val="300"/>
        </w:trPr>
        <w:tc>
          <w:tcPr>
            <w:tcW w:w="340" w:type="pct"/>
            <w:tcBorders>
              <w:right w:val="nil"/>
            </w:tcBorders>
            <w:shd w:val="clear" w:color="auto" w:fill="auto"/>
          </w:tcPr>
          <w:p w:rsidR="001E649F" w:rsidRPr="001F15CF" w:rsidRDefault="001E649F" w:rsidP="00840779">
            <w:pPr>
              <w:spacing w:before="57" w:after="57"/>
              <w:rPr>
                <w:sz w:val="24"/>
                <w:lang w:val="el-GR"/>
              </w:rPr>
            </w:pPr>
          </w:p>
        </w:tc>
        <w:tc>
          <w:tcPr>
            <w:tcW w:w="2764" w:type="pct"/>
            <w:tcBorders>
              <w:left w:val="nil"/>
              <w:right w:val="single" w:sz="4" w:space="0" w:color="auto"/>
            </w:tcBorders>
            <w:shd w:val="clear" w:color="auto" w:fill="auto"/>
            <w:noWrap/>
            <w:hideMark/>
          </w:tcPr>
          <w:p w:rsidR="001E649F" w:rsidRPr="001F15CF" w:rsidRDefault="001E649F" w:rsidP="00840779">
            <w:pPr>
              <w:spacing w:before="57" w:after="57"/>
              <w:rPr>
                <w:sz w:val="24"/>
                <w:lang w:val="el-GR"/>
              </w:rPr>
            </w:pPr>
          </w:p>
        </w:tc>
        <w:tc>
          <w:tcPr>
            <w:tcW w:w="997" w:type="pct"/>
            <w:gridSpan w:val="2"/>
            <w:tcBorders>
              <w:left w:val="single" w:sz="4" w:space="0" w:color="auto"/>
              <w:right w:val="single" w:sz="4" w:space="0" w:color="auto"/>
            </w:tcBorders>
            <w:shd w:val="clear" w:color="auto" w:fill="auto"/>
          </w:tcPr>
          <w:p w:rsidR="001E649F" w:rsidRPr="001F15CF" w:rsidRDefault="001E649F" w:rsidP="00840779">
            <w:pPr>
              <w:spacing w:before="57" w:after="57"/>
              <w:rPr>
                <w:sz w:val="24"/>
                <w:lang w:val="el-GR"/>
              </w:rPr>
            </w:pPr>
            <w:r w:rsidRPr="001F15CF">
              <w:rPr>
                <w:rFonts w:eastAsia="Calibri"/>
                <w:b/>
                <w:sz w:val="24"/>
                <w:lang w:val="el-GR"/>
              </w:rPr>
              <w:t xml:space="preserve">       ΑΠΑΙΤΗΣΗ</w:t>
            </w:r>
          </w:p>
        </w:tc>
        <w:tc>
          <w:tcPr>
            <w:tcW w:w="899" w:type="pct"/>
            <w:tcBorders>
              <w:left w:val="single" w:sz="4" w:space="0" w:color="auto"/>
            </w:tcBorders>
            <w:shd w:val="clear" w:color="auto" w:fill="auto"/>
          </w:tcPr>
          <w:p w:rsidR="001E649F" w:rsidRPr="001F15CF" w:rsidRDefault="001E649F" w:rsidP="00840779">
            <w:pPr>
              <w:spacing w:before="57" w:after="57"/>
              <w:rPr>
                <w:sz w:val="24"/>
                <w:lang w:val="el-GR"/>
              </w:rPr>
            </w:pPr>
          </w:p>
        </w:tc>
      </w:tr>
      <w:tr w:rsidR="001E649F" w:rsidRPr="001F15CF" w:rsidTr="00840779">
        <w:trPr>
          <w:trHeight w:val="315"/>
        </w:trPr>
        <w:tc>
          <w:tcPr>
            <w:tcW w:w="340" w:type="pct"/>
            <w:shd w:val="clear" w:color="auto" w:fill="auto"/>
          </w:tcPr>
          <w:p w:rsidR="001E649F" w:rsidRPr="001F15CF" w:rsidRDefault="001E649F" w:rsidP="00840779">
            <w:pPr>
              <w:spacing w:before="57" w:after="57"/>
              <w:rPr>
                <w:b/>
                <w:sz w:val="24"/>
                <w:lang w:val="el-GR"/>
              </w:rPr>
            </w:pPr>
            <w:r w:rsidRPr="001F15CF">
              <w:rPr>
                <w:b/>
                <w:sz w:val="24"/>
                <w:lang w:val="el-GR"/>
              </w:rPr>
              <w:t>Α/Α</w:t>
            </w:r>
          </w:p>
        </w:tc>
        <w:tc>
          <w:tcPr>
            <w:tcW w:w="2764" w:type="pct"/>
            <w:shd w:val="clear" w:color="auto" w:fill="auto"/>
            <w:noWrap/>
            <w:hideMark/>
          </w:tcPr>
          <w:p w:rsidR="001E649F" w:rsidRPr="001F15CF" w:rsidRDefault="001E649F" w:rsidP="00840779">
            <w:pPr>
              <w:spacing w:before="57" w:after="57"/>
              <w:rPr>
                <w:sz w:val="24"/>
                <w:lang w:val="el-GR"/>
              </w:rPr>
            </w:pPr>
            <w:r w:rsidRPr="001F15CF">
              <w:rPr>
                <w:rFonts w:eastAsia="Calibri"/>
                <w:b/>
                <w:sz w:val="24"/>
                <w:lang w:val="el-GR"/>
              </w:rPr>
              <w:t xml:space="preserve">                  ΤΕΧΝΙΚΕΣ ΠΡΟΔΙΑΓΡΑΦΕΣ</w:t>
            </w:r>
          </w:p>
        </w:tc>
        <w:tc>
          <w:tcPr>
            <w:tcW w:w="403"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ΝΑΙ</w:t>
            </w:r>
          </w:p>
        </w:tc>
        <w:tc>
          <w:tcPr>
            <w:tcW w:w="594"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ΟΧΙ</w:t>
            </w:r>
          </w:p>
        </w:tc>
        <w:tc>
          <w:tcPr>
            <w:tcW w:w="899" w:type="pct"/>
            <w:shd w:val="clear" w:color="auto" w:fill="auto"/>
            <w:vAlign w:val="center"/>
          </w:tcPr>
          <w:p w:rsidR="001E649F" w:rsidRPr="001F15CF" w:rsidRDefault="001E649F" w:rsidP="00840779">
            <w:pPr>
              <w:jc w:val="center"/>
              <w:rPr>
                <w:rFonts w:eastAsia="Calibri"/>
                <w:b/>
                <w:sz w:val="24"/>
                <w:lang w:val="el-GR"/>
              </w:rPr>
            </w:pPr>
            <w:r w:rsidRPr="001F15CF">
              <w:rPr>
                <w:rFonts w:eastAsia="Calibri"/>
                <w:b/>
                <w:sz w:val="24"/>
                <w:lang w:val="el-GR"/>
              </w:rPr>
              <w:t>ΠΑΡΑΠΟΜΠΗ</w:t>
            </w:r>
          </w:p>
        </w:tc>
      </w:tr>
      <w:tr w:rsidR="001E649F" w:rsidRPr="001B2B4E" w:rsidTr="00840779">
        <w:trPr>
          <w:trHeight w:val="675"/>
        </w:trPr>
        <w:tc>
          <w:tcPr>
            <w:tcW w:w="340" w:type="pct"/>
            <w:shd w:val="clear" w:color="auto" w:fill="auto"/>
          </w:tcPr>
          <w:p w:rsidR="001E649F" w:rsidRPr="001F15CF" w:rsidRDefault="001E649F" w:rsidP="00840779">
            <w:pPr>
              <w:spacing w:before="57" w:after="57"/>
              <w:rPr>
                <w:b/>
                <w:bCs/>
                <w:sz w:val="24"/>
                <w:lang w:val="el-GR"/>
              </w:rPr>
            </w:pPr>
          </w:p>
        </w:tc>
        <w:tc>
          <w:tcPr>
            <w:tcW w:w="2764" w:type="pct"/>
            <w:shd w:val="clear" w:color="auto" w:fill="auto"/>
            <w:hideMark/>
          </w:tcPr>
          <w:p w:rsidR="001E649F" w:rsidRPr="001F15CF" w:rsidRDefault="001E649F" w:rsidP="00840779">
            <w:pPr>
              <w:spacing w:before="57" w:after="57"/>
              <w:rPr>
                <w:b/>
                <w:bCs/>
                <w:sz w:val="24"/>
                <w:lang w:val="el-GR"/>
              </w:rPr>
            </w:pPr>
            <w:r w:rsidRPr="001F15CF">
              <w:rPr>
                <w:b/>
                <w:bCs/>
                <w:sz w:val="24"/>
                <w:lang w:val="el-GR"/>
              </w:rPr>
              <w:t>Το σύστημα να διαθέτει τα ακόλουθα τεχνικά χαρακτηριστικά τουλάχιστον:</w:t>
            </w:r>
          </w:p>
        </w:tc>
        <w:tc>
          <w:tcPr>
            <w:tcW w:w="403" w:type="pct"/>
            <w:shd w:val="clear" w:color="auto" w:fill="auto"/>
          </w:tcPr>
          <w:p w:rsidR="001E649F" w:rsidRPr="001F15CF" w:rsidRDefault="001E649F" w:rsidP="00840779">
            <w:pPr>
              <w:spacing w:before="57" w:after="57"/>
              <w:rPr>
                <w:b/>
                <w:bCs/>
                <w:sz w:val="24"/>
                <w:lang w:val="el-GR"/>
              </w:rPr>
            </w:pPr>
          </w:p>
        </w:tc>
        <w:tc>
          <w:tcPr>
            <w:tcW w:w="594" w:type="pct"/>
            <w:shd w:val="clear" w:color="auto" w:fill="auto"/>
          </w:tcPr>
          <w:p w:rsidR="001E649F" w:rsidRPr="001F15CF" w:rsidRDefault="001E649F" w:rsidP="00840779">
            <w:pPr>
              <w:spacing w:before="57" w:after="57"/>
              <w:rPr>
                <w:b/>
                <w:bCs/>
                <w:sz w:val="24"/>
                <w:lang w:val="el-GR"/>
              </w:rPr>
            </w:pPr>
          </w:p>
        </w:tc>
        <w:tc>
          <w:tcPr>
            <w:tcW w:w="899" w:type="pct"/>
            <w:shd w:val="clear" w:color="auto" w:fill="auto"/>
          </w:tcPr>
          <w:p w:rsidR="001E649F" w:rsidRPr="001F15CF" w:rsidRDefault="001E649F" w:rsidP="00840779">
            <w:pPr>
              <w:spacing w:before="57" w:after="57"/>
              <w:rPr>
                <w:b/>
                <w:bCs/>
                <w:sz w:val="24"/>
                <w:lang w:val="el-GR"/>
              </w:rPr>
            </w:pPr>
          </w:p>
        </w:tc>
      </w:tr>
      <w:tr w:rsidR="001E649F" w:rsidRPr="001B2B4E" w:rsidTr="00840779">
        <w:trPr>
          <w:trHeight w:val="720"/>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είναι κατάλληλο για το χαρακτηρισμό νανο σωματιδίων.</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419"/>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840779">
            <w:pPr>
              <w:tabs>
                <w:tab w:val="left" w:pos="284"/>
              </w:tabs>
              <w:suppressAutoHyphens w:val="0"/>
              <w:spacing w:after="0"/>
              <w:rPr>
                <w:sz w:val="24"/>
                <w:lang w:val="en-US"/>
              </w:rPr>
            </w:pPr>
            <w:r w:rsidRPr="001F15CF">
              <w:rPr>
                <w:sz w:val="24"/>
                <w:lang w:val="en-US"/>
              </w:rPr>
              <w:t xml:space="preserve">•   </w:t>
            </w:r>
            <w:r w:rsidRPr="001F15CF">
              <w:rPr>
                <w:sz w:val="24"/>
                <w:lang w:val="el-GR"/>
              </w:rPr>
              <w:t>Μέθοδος</w:t>
            </w:r>
            <w:r w:rsidRPr="001F15CF">
              <w:rPr>
                <w:sz w:val="24"/>
                <w:lang w:val="en-US"/>
              </w:rPr>
              <w:t xml:space="preserve"> </w:t>
            </w:r>
            <w:r w:rsidRPr="001F15CF">
              <w:rPr>
                <w:sz w:val="24"/>
                <w:lang w:val="el-GR"/>
              </w:rPr>
              <w:t>Ανάλυσης</w:t>
            </w:r>
            <w:r w:rsidRPr="001F15CF">
              <w:rPr>
                <w:sz w:val="24"/>
                <w:lang w:val="en-US"/>
              </w:rPr>
              <w:t xml:space="preserve">: Nanoparticle Tracking Analysis </w:t>
            </w:r>
          </w:p>
          <w:p w:rsidR="001E649F" w:rsidRPr="001F15CF" w:rsidRDefault="001E649F" w:rsidP="00840779">
            <w:pPr>
              <w:tabs>
                <w:tab w:val="left" w:pos="284"/>
              </w:tabs>
              <w:suppressAutoHyphens w:val="0"/>
              <w:spacing w:after="0"/>
              <w:rPr>
                <w:sz w:val="24"/>
                <w:lang w:val="en-US"/>
              </w:rPr>
            </w:pPr>
            <w:r w:rsidRPr="001F15CF">
              <w:rPr>
                <w:sz w:val="24"/>
                <w:lang w:val="en-US"/>
              </w:rPr>
              <w:t xml:space="preserve">     (NTA). </w:t>
            </w:r>
          </w:p>
        </w:tc>
        <w:tc>
          <w:tcPr>
            <w:tcW w:w="403" w:type="pct"/>
            <w:shd w:val="clear" w:color="auto" w:fill="auto"/>
          </w:tcPr>
          <w:p w:rsidR="001E649F" w:rsidRPr="001F15CF" w:rsidRDefault="001E649F" w:rsidP="00840779">
            <w:pPr>
              <w:spacing w:before="57" w:after="57"/>
              <w:rPr>
                <w:sz w:val="24"/>
                <w:lang w:val="en-US"/>
              </w:rPr>
            </w:pPr>
          </w:p>
        </w:tc>
        <w:tc>
          <w:tcPr>
            <w:tcW w:w="594" w:type="pct"/>
            <w:shd w:val="clear" w:color="auto" w:fill="auto"/>
          </w:tcPr>
          <w:p w:rsidR="001E649F" w:rsidRPr="001F15CF" w:rsidRDefault="001E649F" w:rsidP="00840779">
            <w:pPr>
              <w:spacing w:before="57" w:after="57"/>
              <w:rPr>
                <w:sz w:val="24"/>
                <w:lang w:val="en-US"/>
              </w:rPr>
            </w:pPr>
          </w:p>
        </w:tc>
        <w:tc>
          <w:tcPr>
            <w:tcW w:w="899" w:type="pct"/>
            <w:shd w:val="clear" w:color="auto" w:fill="auto"/>
          </w:tcPr>
          <w:p w:rsidR="001E649F" w:rsidRPr="001F15CF" w:rsidRDefault="001E649F" w:rsidP="00840779">
            <w:pPr>
              <w:spacing w:before="57" w:after="57"/>
              <w:rPr>
                <w:sz w:val="24"/>
                <w:lang w:val="en-US"/>
              </w:rPr>
            </w:pPr>
          </w:p>
        </w:tc>
      </w:tr>
      <w:tr w:rsidR="001E649F" w:rsidRPr="001B2B4E" w:rsidTr="00840779">
        <w:trPr>
          <w:trHeight w:val="675"/>
        </w:trPr>
        <w:tc>
          <w:tcPr>
            <w:tcW w:w="340" w:type="pct"/>
            <w:shd w:val="clear" w:color="auto" w:fill="auto"/>
          </w:tcPr>
          <w:p w:rsidR="001E649F" w:rsidRPr="001F15CF" w:rsidRDefault="001E649F" w:rsidP="00840779">
            <w:pPr>
              <w:spacing w:before="57" w:after="57"/>
              <w:rPr>
                <w:sz w:val="24"/>
                <w:lang w:val="en-US"/>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 xml:space="preserve">Περιοχή μεγέθους σωματιδίων (διάμετρος): 10-1.000 nm, αναλόγως του υλικού.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5"/>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Εύρος συγκέντρωσης σωματιδίων: 10</w:t>
            </w:r>
            <w:r w:rsidRPr="001F15CF">
              <w:rPr>
                <w:sz w:val="24"/>
                <w:vertAlign w:val="superscript"/>
                <w:lang w:val="el-GR"/>
              </w:rPr>
              <w:t>6</w:t>
            </w:r>
            <w:r w:rsidRPr="001F15CF">
              <w:rPr>
                <w:sz w:val="24"/>
                <w:lang w:val="el-GR"/>
              </w:rPr>
              <w:t xml:space="preserve"> - 10</w:t>
            </w:r>
            <w:r w:rsidRPr="001F15CF">
              <w:rPr>
                <w:sz w:val="24"/>
                <w:vertAlign w:val="superscript"/>
                <w:lang w:val="el-GR"/>
              </w:rPr>
              <w:t>9</w:t>
            </w:r>
            <w:r w:rsidRPr="001F15CF">
              <w:rPr>
                <w:sz w:val="24"/>
                <w:lang w:val="el-GR"/>
              </w:rPr>
              <w:t xml:space="preserve"> σωματίδια/ml.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645"/>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840779">
            <w:pPr>
              <w:tabs>
                <w:tab w:val="left" w:pos="284"/>
              </w:tabs>
              <w:suppressAutoHyphens w:val="0"/>
              <w:spacing w:after="0"/>
              <w:rPr>
                <w:sz w:val="24"/>
                <w:lang w:val="el-GR"/>
              </w:rPr>
            </w:pPr>
            <w:r w:rsidRPr="001F15CF">
              <w:rPr>
                <w:sz w:val="24"/>
                <w:lang w:val="el-GR"/>
              </w:rPr>
              <w:t xml:space="preserve">•   Να παρέχει δυνατότητα ταυτόχρονης ανάλυσης </w:t>
            </w:r>
          </w:p>
          <w:p w:rsidR="001E649F" w:rsidRPr="001F15CF" w:rsidRDefault="001E649F" w:rsidP="00840779">
            <w:pPr>
              <w:tabs>
                <w:tab w:val="left" w:pos="284"/>
              </w:tabs>
              <w:suppressAutoHyphens w:val="0"/>
              <w:spacing w:after="0"/>
              <w:rPr>
                <w:sz w:val="24"/>
                <w:lang w:val="el-GR"/>
              </w:rPr>
            </w:pPr>
            <w:r w:rsidRPr="001F15CF">
              <w:rPr>
                <w:sz w:val="24"/>
                <w:lang w:val="el-GR"/>
              </w:rPr>
              <w:t xml:space="preserve">     κάθε ενός σωματιδίου χωριστά, μέτρηση κατανομής</w:t>
            </w:r>
            <w:r>
              <w:rPr>
                <w:sz w:val="24"/>
                <w:lang w:val="el-GR"/>
              </w:rPr>
              <w:t xml:space="preserve"> </w:t>
            </w:r>
            <w:r w:rsidRPr="001F15CF">
              <w:rPr>
                <w:sz w:val="24"/>
                <w:lang w:val="el-GR"/>
              </w:rPr>
              <w:t>μεγέθους σωματιδίων υψηλής διακριτικής</w:t>
            </w:r>
            <w:r>
              <w:rPr>
                <w:sz w:val="24"/>
                <w:lang w:val="el-GR"/>
              </w:rPr>
              <w:t xml:space="preserve"> </w:t>
            </w:r>
            <w:r w:rsidRPr="001F15CF">
              <w:rPr>
                <w:sz w:val="24"/>
                <w:lang w:val="el-GR"/>
              </w:rPr>
              <w:t xml:space="preserve">  ικανότητας και μέτρηση συγκέντρωσης .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Δυνατότητα απεικόνισης του δείγματος σε πραγματικό χρόνο.</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συλλέγει το σκεδαζόμενο φως από τα νανοσωματίδια, για οπτική επιβεβαίωση και επαλήθευση των αποτελεσμάτων.</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 xml:space="preserve">Έλεγχος θερμοκρασίας: 5 °C κάτω της θερμοκρασίας περιβάλλοντος έως 50 °C.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 xml:space="preserve">Η εστίαση να είναι πλήρως ελεγχόμενη από τον Η/Υ του συστήματος.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467"/>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 xml:space="preserve">Να είναι εξοπλισμένο με κάμερα sCMOS υψηλής ευαισθησίας.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840779">
            <w:pPr>
              <w:tabs>
                <w:tab w:val="left" w:pos="284"/>
              </w:tabs>
              <w:suppressAutoHyphens w:val="0"/>
              <w:spacing w:after="0"/>
              <w:rPr>
                <w:sz w:val="24"/>
                <w:lang w:val="el-GR"/>
              </w:rPr>
            </w:pPr>
            <w:r w:rsidRPr="001F15CF">
              <w:rPr>
                <w:sz w:val="24"/>
                <w:lang w:val="el-GR"/>
              </w:rPr>
              <w:t xml:space="preserve">•   Να περιλαμβάνονται τρεις (3) πηγές </w:t>
            </w:r>
            <w:r w:rsidRPr="001F15CF">
              <w:rPr>
                <w:sz w:val="24"/>
              </w:rPr>
              <w:t>Laser</w:t>
            </w:r>
            <w:r w:rsidRPr="001F15CF">
              <w:rPr>
                <w:sz w:val="24"/>
                <w:lang w:val="el-GR"/>
              </w:rPr>
              <w:t xml:space="preserve"> α/</w:t>
            </w:r>
            <w:r w:rsidRPr="001F15CF">
              <w:rPr>
                <w:sz w:val="24"/>
              </w:rPr>
              <w:t>Laser</w:t>
            </w:r>
          </w:p>
          <w:p w:rsidR="001E649F" w:rsidRDefault="001E649F" w:rsidP="00840779">
            <w:pPr>
              <w:tabs>
                <w:tab w:val="left" w:pos="284"/>
              </w:tabs>
              <w:suppressAutoHyphens w:val="0"/>
              <w:spacing w:after="0"/>
              <w:rPr>
                <w:sz w:val="24"/>
                <w:lang w:val="en-US"/>
              </w:rPr>
            </w:pPr>
            <w:r w:rsidRPr="006C698B">
              <w:rPr>
                <w:sz w:val="24"/>
                <w:lang w:val="el-GR"/>
              </w:rPr>
              <w:t xml:space="preserve">     </w:t>
            </w:r>
            <w:r w:rsidRPr="001F15CF">
              <w:rPr>
                <w:sz w:val="24"/>
                <w:lang w:val="en-US"/>
              </w:rPr>
              <w:t xml:space="preserve">532 </w:t>
            </w:r>
            <w:r w:rsidRPr="001F15CF">
              <w:rPr>
                <w:sz w:val="24"/>
              </w:rPr>
              <w:t xml:space="preserve">nm </w:t>
            </w:r>
            <w:r w:rsidRPr="001F15CF">
              <w:rPr>
                <w:sz w:val="24"/>
                <w:lang w:val="en-US"/>
              </w:rPr>
              <w:t>(</w:t>
            </w:r>
            <w:r w:rsidRPr="001F15CF">
              <w:rPr>
                <w:sz w:val="24"/>
              </w:rPr>
              <w:t>green</w:t>
            </w:r>
            <w:r w:rsidRPr="001F15CF">
              <w:rPr>
                <w:sz w:val="24"/>
                <w:lang w:val="en-US"/>
              </w:rPr>
              <w:t xml:space="preserve">), </w:t>
            </w:r>
            <w:r w:rsidRPr="001F15CF">
              <w:rPr>
                <w:sz w:val="24"/>
                <w:lang w:val="el-GR"/>
              </w:rPr>
              <w:t>β</w:t>
            </w:r>
            <w:r w:rsidRPr="001F15CF">
              <w:rPr>
                <w:sz w:val="24"/>
                <w:lang w:val="en-US"/>
              </w:rPr>
              <w:t xml:space="preserve">/Laser 405 </w:t>
            </w:r>
            <w:r w:rsidRPr="001F15CF">
              <w:rPr>
                <w:sz w:val="24"/>
              </w:rPr>
              <w:t>nm</w:t>
            </w:r>
            <w:r w:rsidRPr="001F15CF">
              <w:rPr>
                <w:sz w:val="24"/>
                <w:lang w:val="en-US"/>
              </w:rPr>
              <w:t xml:space="preserve"> (</w:t>
            </w:r>
            <w:r w:rsidRPr="001F15CF">
              <w:rPr>
                <w:sz w:val="24"/>
              </w:rPr>
              <w:t>violet</w:t>
            </w:r>
            <w:r w:rsidRPr="001F15CF">
              <w:rPr>
                <w:sz w:val="24"/>
                <w:lang w:val="en-US"/>
              </w:rPr>
              <w:t xml:space="preserve">) </w:t>
            </w:r>
            <w:r w:rsidRPr="001F15CF">
              <w:rPr>
                <w:sz w:val="24"/>
                <w:lang w:val="el-GR"/>
              </w:rPr>
              <w:t>και</w:t>
            </w:r>
            <w:r w:rsidRPr="001F15CF">
              <w:rPr>
                <w:sz w:val="24"/>
                <w:lang w:val="en-US"/>
              </w:rPr>
              <w:t xml:space="preserve"> </w:t>
            </w:r>
            <w:r w:rsidRPr="001F15CF">
              <w:rPr>
                <w:sz w:val="24"/>
                <w:lang w:val="el-GR"/>
              </w:rPr>
              <w:t>γ</w:t>
            </w:r>
            <w:r w:rsidRPr="001F15CF">
              <w:rPr>
                <w:sz w:val="24"/>
                <w:lang w:val="en-US"/>
              </w:rPr>
              <w:t>/Laser</w:t>
            </w:r>
          </w:p>
          <w:p w:rsidR="001E649F" w:rsidRPr="001F15CF" w:rsidRDefault="001E649F" w:rsidP="00840779">
            <w:pPr>
              <w:tabs>
                <w:tab w:val="left" w:pos="284"/>
              </w:tabs>
              <w:suppressAutoHyphens w:val="0"/>
              <w:spacing w:after="0"/>
              <w:rPr>
                <w:sz w:val="24"/>
                <w:lang w:val="el-GR"/>
              </w:rPr>
            </w:pPr>
            <w:r w:rsidRPr="001F15CF">
              <w:rPr>
                <w:sz w:val="24"/>
                <w:lang w:val="en-US"/>
              </w:rPr>
              <w:t xml:space="preserve">     </w:t>
            </w:r>
            <w:r w:rsidRPr="001F15CF">
              <w:rPr>
                <w:sz w:val="24"/>
                <w:lang w:val="el-GR"/>
              </w:rPr>
              <w:t xml:space="preserve">642 </w:t>
            </w:r>
            <w:r w:rsidRPr="001F15CF">
              <w:rPr>
                <w:sz w:val="24"/>
              </w:rPr>
              <w:t>nm</w:t>
            </w:r>
            <w:r w:rsidRPr="001F15CF">
              <w:rPr>
                <w:sz w:val="24"/>
                <w:lang w:val="el-GR"/>
              </w:rPr>
              <w:t xml:space="preserve"> (</w:t>
            </w:r>
            <w:r w:rsidRPr="001F15CF">
              <w:rPr>
                <w:sz w:val="24"/>
              </w:rPr>
              <w:t>red</w:t>
            </w:r>
            <w:r w:rsidRPr="001F15CF">
              <w:rPr>
                <w:sz w:val="24"/>
                <w:lang w:val="el-GR"/>
              </w:rPr>
              <w:t>), οι οποίες να δύνανται να αλλαχθούν</w:t>
            </w:r>
          </w:p>
          <w:p w:rsidR="001E649F" w:rsidRPr="001F15CF" w:rsidRDefault="001E649F" w:rsidP="00840779">
            <w:pPr>
              <w:tabs>
                <w:tab w:val="left" w:pos="284"/>
              </w:tabs>
              <w:suppressAutoHyphens w:val="0"/>
              <w:spacing w:after="0"/>
              <w:rPr>
                <w:sz w:val="24"/>
                <w:lang w:val="el-GR"/>
              </w:rPr>
            </w:pPr>
            <w:r w:rsidRPr="001F15CF">
              <w:rPr>
                <w:sz w:val="24"/>
                <w:lang w:val="el-GR"/>
              </w:rPr>
              <w:t xml:space="preserve">     από το χρήστη.</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840779">
            <w:pPr>
              <w:tabs>
                <w:tab w:val="left" w:pos="284"/>
              </w:tabs>
              <w:suppressAutoHyphens w:val="0"/>
              <w:spacing w:after="0"/>
              <w:rPr>
                <w:sz w:val="24"/>
                <w:lang w:val="el-GR"/>
              </w:rPr>
            </w:pPr>
            <w:r w:rsidRPr="001F15CF">
              <w:rPr>
                <w:sz w:val="24"/>
                <w:lang w:val="el-GR"/>
              </w:rPr>
              <w:t xml:space="preserve">•   Δυνατότητα μελλοντικής προσθήκης </w:t>
            </w:r>
            <w:r w:rsidRPr="001F15CF">
              <w:rPr>
                <w:sz w:val="24"/>
                <w:lang w:val="en-US"/>
              </w:rPr>
              <w:t>Laser</w:t>
            </w:r>
            <w:r w:rsidRPr="001F15CF">
              <w:rPr>
                <w:sz w:val="24"/>
                <w:lang w:val="el-GR"/>
              </w:rPr>
              <w:t xml:space="preserve"> 488 </w:t>
            </w:r>
            <w:r w:rsidRPr="001F15CF">
              <w:rPr>
                <w:sz w:val="24"/>
                <w:lang w:val="en-US"/>
              </w:rPr>
              <w:t>nm</w:t>
            </w:r>
          </w:p>
          <w:p w:rsidR="001E649F" w:rsidRPr="001F15CF" w:rsidRDefault="001E649F" w:rsidP="00840779">
            <w:pPr>
              <w:tabs>
                <w:tab w:val="left" w:pos="284"/>
              </w:tabs>
              <w:suppressAutoHyphens w:val="0"/>
              <w:spacing w:after="0"/>
              <w:rPr>
                <w:sz w:val="24"/>
                <w:lang w:val="el-GR"/>
              </w:rPr>
            </w:pPr>
            <w:r w:rsidRPr="001F15CF">
              <w:rPr>
                <w:sz w:val="24"/>
                <w:lang w:val="el-GR"/>
              </w:rPr>
              <w:t xml:space="preserve">    (</w:t>
            </w:r>
            <w:r w:rsidRPr="001F15CF">
              <w:rPr>
                <w:sz w:val="24"/>
                <w:lang w:val="en-US"/>
              </w:rPr>
              <w:t>blue</w:t>
            </w:r>
            <w:r w:rsidRPr="001F15CF">
              <w:rPr>
                <w:sz w:val="24"/>
                <w:lang w:val="el-GR"/>
              </w:rPr>
              <w:t>).</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 xml:space="preserve">Να διαθέτει κατάλληλο λογισμικό, φιλικό στον χρήστη, με δυνατότητα δημιουργίας SOPs, πλήρη πρόσβαση στα ακατέργαστα δεδομένα (raw data) και δυνατότητα παραμετροποίησης των φορμών αναφοράς.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367"/>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Ελάχιστος όγκος δείγματος: 250 μl</w:t>
            </w:r>
            <w:r w:rsidRPr="001F15CF">
              <w:rPr>
                <w:sz w:val="24"/>
                <w:lang w:val="en-US"/>
              </w:rPr>
              <w:t>.</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401"/>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C12389">
              <w:rPr>
                <w:sz w:val="24"/>
                <w:lang w:val="el-GR"/>
              </w:rPr>
              <w:t>Ελάχιστη προετοιμασία δείγματος.</w:t>
            </w:r>
          </w:p>
        </w:tc>
        <w:tc>
          <w:tcPr>
            <w:tcW w:w="403" w:type="pct"/>
            <w:shd w:val="clear" w:color="auto" w:fill="auto"/>
          </w:tcPr>
          <w:p w:rsidR="001E649F" w:rsidRPr="001F15CF" w:rsidRDefault="001E649F" w:rsidP="00840779">
            <w:pPr>
              <w:spacing w:before="57" w:after="57"/>
              <w:rPr>
                <w:sz w:val="24"/>
              </w:rPr>
            </w:pPr>
          </w:p>
        </w:tc>
        <w:tc>
          <w:tcPr>
            <w:tcW w:w="594" w:type="pct"/>
            <w:shd w:val="clear" w:color="auto" w:fill="auto"/>
          </w:tcPr>
          <w:p w:rsidR="001E649F" w:rsidRPr="001F15CF" w:rsidRDefault="001E649F" w:rsidP="00840779">
            <w:pPr>
              <w:spacing w:before="57" w:after="57"/>
              <w:rPr>
                <w:sz w:val="24"/>
              </w:rPr>
            </w:pPr>
          </w:p>
        </w:tc>
        <w:tc>
          <w:tcPr>
            <w:tcW w:w="899" w:type="pct"/>
            <w:shd w:val="clear" w:color="auto" w:fill="auto"/>
          </w:tcPr>
          <w:p w:rsidR="001E649F" w:rsidRPr="001F15CF" w:rsidRDefault="001E649F" w:rsidP="00840779">
            <w:pPr>
              <w:spacing w:before="57" w:after="57"/>
              <w:rPr>
                <w:sz w:val="24"/>
              </w:rPr>
            </w:pPr>
          </w:p>
        </w:tc>
      </w:tr>
      <w:tr w:rsidR="001E649F" w:rsidRPr="001F15CF"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840779">
            <w:pPr>
              <w:tabs>
                <w:tab w:val="left" w:pos="284"/>
              </w:tabs>
              <w:suppressAutoHyphens w:val="0"/>
              <w:spacing w:after="0"/>
              <w:rPr>
                <w:sz w:val="24"/>
                <w:lang w:val="el-GR"/>
              </w:rPr>
            </w:pPr>
            <w:r w:rsidRPr="001F15CF">
              <w:rPr>
                <w:sz w:val="24"/>
                <w:lang w:val="el-GR"/>
              </w:rPr>
              <w:t>•   Να δύνανται να χρησιμοποιηθούν όλοι οι μη</w:t>
            </w:r>
          </w:p>
          <w:p w:rsidR="001E649F" w:rsidRPr="001F15CF" w:rsidRDefault="001E649F" w:rsidP="00840779">
            <w:pPr>
              <w:tabs>
                <w:tab w:val="left" w:pos="284"/>
              </w:tabs>
              <w:suppressAutoHyphens w:val="0"/>
              <w:spacing w:after="0"/>
              <w:rPr>
                <w:sz w:val="24"/>
                <w:lang w:val="el-GR"/>
              </w:rPr>
            </w:pPr>
            <w:r w:rsidRPr="001F15CF">
              <w:rPr>
                <w:sz w:val="24"/>
                <w:lang w:val="el-GR"/>
              </w:rPr>
              <w:t xml:space="preserve">     εύφλεκτοι διαλύτες με βάση το νερό ουδέτερου</w:t>
            </w:r>
          </w:p>
          <w:p w:rsidR="001E649F" w:rsidRPr="001F15CF" w:rsidRDefault="001E649F" w:rsidP="00840779">
            <w:pPr>
              <w:tabs>
                <w:tab w:val="left" w:pos="284"/>
              </w:tabs>
              <w:suppressAutoHyphens w:val="0"/>
              <w:spacing w:after="0"/>
              <w:rPr>
                <w:sz w:val="24"/>
                <w:lang w:val="el-GR"/>
              </w:rPr>
            </w:pPr>
            <w:r w:rsidRPr="001F15CF">
              <w:rPr>
                <w:sz w:val="24"/>
                <w:lang w:val="el-GR"/>
              </w:rPr>
              <w:t xml:space="preserve">     pΗ.</w:t>
            </w:r>
          </w:p>
          <w:p w:rsidR="001E649F" w:rsidRPr="001F15CF" w:rsidRDefault="001E649F" w:rsidP="00840779">
            <w:pPr>
              <w:suppressAutoHyphens w:val="0"/>
              <w:spacing w:after="0"/>
              <w:rPr>
                <w:sz w:val="24"/>
                <w:lang w:val="el-GR"/>
              </w:rPr>
            </w:pP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περιλαμβάνεται τροχός φίλτρων φθορισμού για έως 5 διαφορετικά φίλτρα, ελεγχόμενου από το λογισμικό.</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840779">
            <w:pPr>
              <w:tabs>
                <w:tab w:val="left" w:pos="284"/>
              </w:tabs>
              <w:suppressAutoHyphens w:val="0"/>
              <w:spacing w:after="0"/>
              <w:rPr>
                <w:sz w:val="24"/>
                <w:lang w:val="el-GR"/>
              </w:rPr>
            </w:pPr>
            <w:r w:rsidRPr="001F15CF">
              <w:rPr>
                <w:sz w:val="24"/>
                <w:lang w:val="el-GR"/>
              </w:rPr>
              <w:t xml:space="preserve">•   Ο τροχός φίλτρων να περιλαμβάνει τρία (3) φίλτρα  φθορισμού, </w:t>
            </w:r>
            <w:r w:rsidRPr="001F15CF">
              <w:rPr>
                <w:sz w:val="24"/>
                <w:lang w:val="en-US"/>
              </w:rPr>
              <w:t>green</w:t>
            </w:r>
            <w:r w:rsidRPr="001F15CF">
              <w:rPr>
                <w:sz w:val="24"/>
                <w:lang w:val="el-GR"/>
              </w:rPr>
              <w:t xml:space="preserve">, </w:t>
            </w:r>
            <w:r w:rsidRPr="001F15CF">
              <w:rPr>
                <w:sz w:val="24"/>
                <w:lang w:val="en-US"/>
              </w:rPr>
              <w:t>violet</w:t>
            </w:r>
            <w:r w:rsidRPr="001F15CF">
              <w:rPr>
                <w:sz w:val="24"/>
                <w:lang w:val="el-GR"/>
              </w:rPr>
              <w:t xml:space="preserve">, </w:t>
            </w:r>
            <w:r w:rsidRPr="001F15CF">
              <w:rPr>
                <w:sz w:val="24"/>
                <w:lang w:val="en-US"/>
              </w:rPr>
              <w:t>red</w:t>
            </w:r>
            <w:r w:rsidRPr="001F15CF">
              <w:rPr>
                <w:sz w:val="24"/>
                <w:lang w:val="el-GR"/>
              </w:rPr>
              <w:t xml:space="preserve">, για κάθε μια </w:t>
            </w:r>
            <w:r w:rsidRPr="001F15CF">
              <w:rPr>
                <w:sz w:val="24"/>
                <w:lang w:val="en-US"/>
              </w:rPr>
              <w:t>Laser</w:t>
            </w:r>
            <w:r w:rsidRPr="001F15CF">
              <w:rPr>
                <w:sz w:val="24"/>
                <w:lang w:val="el-GR"/>
              </w:rPr>
              <w:t>.</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399"/>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διαθέτει αντλία σύριγγας.</w:t>
            </w:r>
          </w:p>
        </w:tc>
        <w:tc>
          <w:tcPr>
            <w:tcW w:w="403" w:type="pct"/>
            <w:shd w:val="clear" w:color="auto" w:fill="auto"/>
          </w:tcPr>
          <w:p w:rsidR="001E649F" w:rsidRPr="001F15CF" w:rsidRDefault="001E649F" w:rsidP="00840779">
            <w:pPr>
              <w:spacing w:before="57" w:after="57"/>
              <w:rPr>
                <w:sz w:val="24"/>
              </w:rPr>
            </w:pPr>
          </w:p>
        </w:tc>
        <w:tc>
          <w:tcPr>
            <w:tcW w:w="594" w:type="pct"/>
            <w:shd w:val="clear" w:color="auto" w:fill="auto"/>
          </w:tcPr>
          <w:p w:rsidR="001E649F" w:rsidRPr="001F15CF" w:rsidRDefault="001E649F" w:rsidP="00840779">
            <w:pPr>
              <w:spacing w:before="57" w:after="57"/>
              <w:rPr>
                <w:sz w:val="24"/>
              </w:rPr>
            </w:pPr>
          </w:p>
        </w:tc>
        <w:tc>
          <w:tcPr>
            <w:tcW w:w="899" w:type="pct"/>
            <w:shd w:val="clear" w:color="auto" w:fill="auto"/>
          </w:tcPr>
          <w:p w:rsidR="001E649F" w:rsidRPr="001F15CF" w:rsidRDefault="001E649F" w:rsidP="00840779">
            <w:pPr>
              <w:spacing w:before="57" w:after="57"/>
              <w:rPr>
                <w:sz w:val="24"/>
              </w:rPr>
            </w:pPr>
          </w:p>
        </w:tc>
      </w:tr>
      <w:tr w:rsidR="001E649F" w:rsidRPr="001B2B4E" w:rsidTr="00840779">
        <w:trPr>
          <w:trHeight w:val="409"/>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διαθέτει φακό με δυνατότητα μεγέθυνσης 20</w:t>
            </w:r>
            <w:r w:rsidRPr="001F15CF">
              <w:rPr>
                <w:sz w:val="24"/>
                <w:lang w:val="en-US"/>
              </w:rPr>
              <w:t>x</w:t>
            </w:r>
            <w:r w:rsidRPr="001F15CF">
              <w:rPr>
                <w:sz w:val="24"/>
                <w:lang w:val="el-GR"/>
              </w:rPr>
              <w:t>.</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Το λογισμικό να διαθέτει λειτουργία εντόπισης και διόρθωσης δονήσεων.</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Το προσφερόμενο όργανο να  συνοδεύεται από Η/Υ, στον οποίο θα είναι εγκατεστημένο το λογισμικό του.</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Το όργανο να πληροί τις προδιαγραφές του ISO 19430:2016.</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4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είναι έτοιμο για λειτουργία στα 220 V/50 Hz.</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402"/>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840779">
            <w:pPr>
              <w:spacing w:after="0"/>
              <w:rPr>
                <w:sz w:val="24"/>
                <w:lang w:val="el-GR"/>
              </w:rPr>
            </w:pPr>
            <w:r w:rsidRPr="001F15CF">
              <w:rPr>
                <w:sz w:val="24"/>
              </w:rPr>
              <w:t> </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F15CF" w:rsidTr="00840779">
        <w:trPr>
          <w:trHeight w:val="402"/>
        </w:trPr>
        <w:tc>
          <w:tcPr>
            <w:tcW w:w="340" w:type="pct"/>
            <w:shd w:val="clear" w:color="auto" w:fill="auto"/>
          </w:tcPr>
          <w:p w:rsidR="001E649F" w:rsidRPr="001F15CF" w:rsidRDefault="001E649F" w:rsidP="00840779">
            <w:pPr>
              <w:spacing w:before="57" w:after="57"/>
              <w:rPr>
                <w:b/>
                <w:bCs/>
                <w:sz w:val="24"/>
                <w:lang w:val="el-GR"/>
              </w:rPr>
            </w:pPr>
          </w:p>
        </w:tc>
        <w:tc>
          <w:tcPr>
            <w:tcW w:w="2764" w:type="pct"/>
            <w:shd w:val="clear" w:color="auto" w:fill="auto"/>
            <w:hideMark/>
          </w:tcPr>
          <w:p w:rsidR="001E649F" w:rsidRPr="001F15CF" w:rsidRDefault="001E649F" w:rsidP="00840779">
            <w:pPr>
              <w:spacing w:after="0"/>
              <w:rPr>
                <w:b/>
                <w:bCs/>
                <w:sz w:val="24"/>
              </w:rPr>
            </w:pPr>
            <w:r w:rsidRPr="001F15CF">
              <w:rPr>
                <w:b/>
                <w:bCs/>
                <w:sz w:val="24"/>
              </w:rPr>
              <w:t xml:space="preserve">Γενικά </w:t>
            </w:r>
          </w:p>
        </w:tc>
        <w:tc>
          <w:tcPr>
            <w:tcW w:w="403" w:type="pct"/>
            <w:shd w:val="clear" w:color="auto" w:fill="auto"/>
          </w:tcPr>
          <w:p w:rsidR="001E649F" w:rsidRPr="001F15CF" w:rsidRDefault="001E649F" w:rsidP="00840779">
            <w:pPr>
              <w:spacing w:before="57" w:after="57"/>
              <w:rPr>
                <w:b/>
                <w:bCs/>
                <w:sz w:val="24"/>
              </w:rPr>
            </w:pPr>
          </w:p>
        </w:tc>
        <w:tc>
          <w:tcPr>
            <w:tcW w:w="594" w:type="pct"/>
            <w:shd w:val="clear" w:color="auto" w:fill="auto"/>
          </w:tcPr>
          <w:p w:rsidR="001E649F" w:rsidRPr="001F15CF" w:rsidRDefault="001E649F" w:rsidP="00840779">
            <w:pPr>
              <w:spacing w:before="57" w:after="57"/>
              <w:rPr>
                <w:b/>
                <w:bCs/>
                <w:sz w:val="24"/>
              </w:rPr>
            </w:pPr>
          </w:p>
        </w:tc>
        <w:tc>
          <w:tcPr>
            <w:tcW w:w="899" w:type="pct"/>
            <w:shd w:val="clear" w:color="auto" w:fill="auto"/>
          </w:tcPr>
          <w:p w:rsidR="001E649F" w:rsidRPr="001F15CF" w:rsidRDefault="001E649F" w:rsidP="00840779">
            <w:pPr>
              <w:spacing w:before="57" w:after="57"/>
              <w:rPr>
                <w:b/>
                <w:bCs/>
                <w:sz w:val="24"/>
              </w:rPr>
            </w:pPr>
          </w:p>
        </w:tc>
      </w:tr>
      <w:tr w:rsidR="001E649F" w:rsidRPr="001B2B4E" w:rsidTr="00840779">
        <w:trPr>
          <w:trHeight w:val="705"/>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δοθεί εγγύηση καλής λειτουργίας για ένα (1) τουλάχιστον έτος.</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577"/>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hideMark/>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Να περιλαμβάνεται εγκατάσταση του οργάνου και εκπαίδευση του χειριστή ή των χειριστών.</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631"/>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Το προσφερόμενο σύστημα να διαθέτει πιστοποίηση CE.</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80"/>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Ο προμηθευτής θα πρέπει να είναι  πιστοποιημένος κατά ISO  9001:2015.</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r w:rsidR="001E649F" w:rsidRPr="001B2B4E" w:rsidTr="00840779">
        <w:trPr>
          <w:trHeight w:val="780"/>
        </w:trPr>
        <w:tc>
          <w:tcPr>
            <w:tcW w:w="340" w:type="pct"/>
            <w:shd w:val="clear" w:color="auto" w:fill="auto"/>
          </w:tcPr>
          <w:p w:rsidR="001E649F" w:rsidRPr="001F15CF" w:rsidRDefault="001E649F" w:rsidP="00840779">
            <w:pPr>
              <w:spacing w:before="57" w:after="57"/>
              <w:rPr>
                <w:sz w:val="24"/>
                <w:lang w:val="el-GR"/>
              </w:rPr>
            </w:pPr>
          </w:p>
        </w:tc>
        <w:tc>
          <w:tcPr>
            <w:tcW w:w="2764" w:type="pct"/>
            <w:shd w:val="clear" w:color="auto" w:fill="auto"/>
          </w:tcPr>
          <w:p w:rsidR="001E649F" w:rsidRPr="001F15CF" w:rsidRDefault="001E649F" w:rsidP="001E649F">
            <w:pPr>
              <w:numPr>
                <w:ilvl w:val="0"/>
                <w:numId w:val="3"/>
              </w:numPr>
              <w:suppressAutoHyphens w:val="0"/>
              <w:spacing w:after="0"/>
              <w:ind w:left="284" w:hanging="284"/>
              <w:rPr>
                <w:sz w:val="24"/>
                <w:lang w:val="el-GR"/>
              </w:rPr>
            </w:pPr>
            <w:r w:rsidRPr="001F15CF">
              <w:rPr>
                <w:sz w:val="24"/>
                <w:lang w:val="el-GR"/>
              </w:rPr>
              <w:t>Επιπλέον, ο ίδιος ο προμηθευτής (όχι συνεργάτες)  να είναι πιστοποιημένος κατά ISO 17025, ως επιπλέον απόδειξη της ποιότητας της παρεχόμενη υποστήριξης.</w:t>
            </w:r>
          </w:p>
        </w:tc>
        <w:tc>
          <w:tcPr>
            <w:tcW w:w="403" w:type="pct"/>
            <w:shd w:val="clear" w:color="auto" w:fill="auto"/>
          </w:tcPr>
          <w:p w:rsidR="001E649F" w:rsidRPr="001F15CF" w:rsidRDefault="001E649F" w:rsidP="00840779">
            <w:pPr>
              <w:spacing w:before="57" w:after="57"/>
              <w:rPr>
                <w:sz w:val="24"/>
                <w:lang w:val="el-GR"/>
              </w:rPr>
            </w:pPr>
          </w:p>
        </w:tc>
        <w:tc>
          <w:tcPr>
            <w:tcW w:w="594" w:type="pct"/>
            <w:shd w:val="clear" w:color="auto" w:fill="auto"/>
          </w:tcPr>
          <w:p w:rsidR="001E649F" w:rsidRPr="001F15CF" w:rsidRDefault="001E649F" w:rsidP="00840779">
            <w:pPr>
              <w:spacing w:before="57" w:after="57"/>
              <w:rPr>
                <w:sz w:val="24"/>
                <w:lang w:val="el-GR"/>
              </w:rPr>
            </w:pPr>
          </w:p>
        </w:tc>
        <w:tc>
          <w:tcPr>
            <w:tcW w:w="899" w:type="pct"/>
            <w:shd w:val="clear" w:color="auto" w:fill="auto"/>
          </w:tcPr>
          <w:p w:rsidR="001E649F" w:rsidRPr="001F15CF" w:rsidRDefault="001E649F" w:rsidP="00840779">
            <w:pPr>
              <w:spacing w:before="57" w:after="57"/>
              <w:rPr>
                <w:sz w:val="24"/>
                <w:lang w:val="el-GR"/>
              </w:rPr>
            </w:pPr>
          </w:p>
        </w:tc>
      </w:tr>
    </w:tbl>
    <w:p w:rsidR="001E649F" w:rsidRPr="001F15CF" w:rsidRDefault="001E649F" w:rsidP="001E649F">
      <w:pPr>
        <w:suppressAutoHyphens w:val="0"/>
        <w:autoSpaceDE w:val="0"/>
        <w:rPr>
          <w:rFonts w:eastAsia="SimSun"/>
          <w:sz w:val="24"/>
          <w:lang w:val="el-GR"/>
        </w:rPr>
      </w:pPr>
    </w:p>
    <w:p w:rsidR="001E649F" w:rsidRPr="001F15CF" w:rsidRDefault="001E649F" w:rsidP="001E649F">
      <w:pPr>
        <w:suppressAutoHyphens w:val="0"/>
        <w:autoSpaceDE w:val="0"/>
        <w:rPr>
          <w:rFonts w:eastAsia="SimSun"/>
          <w:sz w:val="24"/>
          <w:lang w:val="el-GR"/>
        </w:rPr>
      </w:pPr>
    </w:p>
    <w:p w:rsidR="001E649F" w:rsidRPr="001F15CF" w:rsidRDefault="001E649F" w:rsidP="001E649F">
      <w:pPr>
        <w:pStyle w:val="normalwithoutspacing"/>
        <w:spacing w:after="120"/>
        <w:rPr>
          <w:rFonts w:eastAsia="SimSun"/>
          <w:i/>
          <w:iCs/>
          <w:color w:val="5B9BD5"/>
          <w:sz w:val="24"/>
        </w:rPr>
      </w:pPr>
    </w:p>
    <w:p w:rsidR="001E649F" w:rsidRPr="001F15CF" w:rsidRDefault="001E649F" w:rsidP="001E649F">
      <w:pPr>
        <w:pStyle w:val="normalwithoutspacing"/>
        <w:spacing w:after="120"/>
        <w:rPr>
          <w:rFonts w:eastAsia="SimSun"/>
          <w:sz w:val="24"/>
        </w:rPr>
      </w:pPr>
    </w:p>
    <w:p w:rsidR="001E649F" w:rsidRPr="001F15CF" w:rsidRDefault="001E649F" w:rsidP="001E649F">
      <w:pPr>
        <w:rPr>
          <w:sz w:val="24"/>
          <w:lang w:val="el-GR"/>
        </w:rPr>
      </w:pPr>
    </w:p>
    <w:p w:rsidR="001E649F" w:rsidRPr="001F15CF" w:rsidRDefault="001E649F" w:rsidP="001E649F">
      <w:pPr>
        <w:suppressAutoHyphens w:val="0"/>
        <w:autoSpaceDE w:val="0"/>
        <w:rPr>
          <w:sz w:val="24"/>
          <w:lang w:val="el-GR"/>
        </w:rPr>
      </w:pPr>
    </w:p>
    <w:p w:rsidR="001E649F" w:rsidRPr="001E649F" w:rsidRDefault="001E649F">
      <w:pPr>
        <w:rPr>
          <w:lang w:val="el-GR"/>
        </w:rPr>
      </w:pPr>
    </w:p>
    <w:p w:rsidR="001E649F" w:rsidRPr="001E649F" w:rsidRDefault="001E649F">
      <w:pPr>
        <w:rPr>
          <w:lang w:val="el-GR"/>
        </w:rPr>
      </w:pPr>
    </w:p>
    <w:sectPr w:rsidR="001E649F" w:rsidRPr="001E64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EE" w:rsidRDefault="009F63EE" w:rsidP="00755ABF">
      <w:pPr>
        <w:spacing w:after="0"/>
      </w:pPr>
      <w:r>
        <w:separator/>
      </w:r>
    </w:p>
  </w:endnote>
  <w:endnote w:type="continuationSeparator" w:id="0">
    <w:p w:rsidR="009F63EE" w:rsidRDefault="009F63EE" w:rsidP="00755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G Times">
    <w:panose1 w:val="020206030504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10C00">
      <w:rPr>
        <w:caps/>
        <w:noProof/>
        <w:color w:val="5B9BD5" w:themeColor="accent1"/>
      </w:rPr>
      <w:t>1</w:t>
    </w:r>
    <w:r>
      <w:rPr>
        <w:caps/>
        <w:noProof/>
        <w:color w:val="5B9BD5" w:themeColor="accent1"/>
      </w:rPr>
      <w:fldChar w:fldCharType="end"/>
    </w:r>
  </w:p>
  <w:p w:rsidR="00755ABF" w:rsidRDefault="00755A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EE" w:rsidRDefault="009F63EE" w:rsidP="00755ABF">
      <w:pPr>
        <w:spacing w:after="0"/>
      </w:pPr>
      <w:r>
        <w:separator/>
      </w:r>
    </w:p>
  </w:footnote>
  <w:footnote w:type="continuationSeparator" w:id="0">
    <w:p w:rsidR="009F63EE" w:rsidRDefault="009F63EE" w:rsidP="00755A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F" w:rsidRDefault="00755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EAA"/>
    <w:multiLevelType w:val="hybridMultilevel"/>
    <w:tmpl w:val="1EF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0F9D"/>
    <w:multiLevelType w:val="hybridMultilevel"/>
    <w:tmpl w:val="73840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609B8"/>
    <w:multiLevelType w:val="hybridMultilevel"/>
    <w:tmpl w:val="08E0D0C2"/>
    <w:lvl w:ilvl="0" w:tplc="F36AB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47CF5"/>
    <w:multiLevelType w:val="hybridMultilevel"/>
    <w:tmpl w:val="46E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9F"/>
    <w:rsid w:val="000E1D78"/>
    <w:rsid w:val="001B2B4E"/>
    <w:rsid w:val="001E649F"/>
    <w:rsid w:val="003648CC"/>
    <w:rsid w:val="00755ABF"/>
    <w:rsid w:val="008A623B"/>
    <w:rsid w:val="009F63EE"/>
    <w:rsid w:val="00B10C00"/>
    <w:rsid w:val="00CB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F7A5-1197-401F-9788-5C065D5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9F"/>
    <w:pPr>
      <w:suppressAutoHyphens/>
      <w:spacing w:after="120" w:line="240" w:lineRule="auto"/>
      <w:jc w:val="both"/>
    </w:pPr>
    <w:rPr>
      <w:rFonts w:ascii="Calibri" w:eastAsia="Times New Roman" w:hAnsi="Calibri" w:cs="Calibri"/>
      <w:szCs w:val="24"/>
      <w:lang w:eastAsia="ar-SA"/>
    </w:rPr>
  </w:style>
  <w:style w:type="paragraph" w:styleId="Heading1">
    <w:name w:val="heading 1"/>
    <w:basedOn w:val="Normal"/>
    <w:next w:val="Normal"/>
    <w:link w:val="Heading1Char"/>
    <w:uiPriority w:val="9"/>
    <w:qFormat/>
    <w:rsid w:val="001E6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1E649F"/>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49F"/>
    <w:rPr>
      <w:rFonts w:ascii="Arial" w:eastAsia="Times New Roman" w:hAnsi="Arial" w:cs="Arial"/>
      <w:b/>
      <w:color w:val="002060"/>
      <w:sz w:val="24"/>
      <w:lang w:eastAsia="ar-SA"/>
    </w:rPr>
  </w:style>
  <w:style w:type="paragraph" w:customStyle="1" w:styleId="normalwithoutspacing">
    <w:name w:val="normal_without_spacing"/>
    <w:basedOn w:val="Normal"/>
    <w:rsid w:val="001E649F"/>
    <w:pPr>
      <w:spacing w:after="60"/>
    </w:pPr>
    <w:rPr>
      <w:lang w:val="el-GR"/>
    </w:rPr>
  </w:style>
  <w:style w:type="paragraph" w:styleId="ListParagraph">
    <w:name w:val="List Paragraph"/>
    <w:basedOn w:val="Normal"/>
    <w:uiPriority w:val="34"/>
    <w:qFormat/>
    <w:rsid w:val="001E649F"/>
    <w:pPr>
      <w:suppressAutoHyphens w:val="0"/>
      <w:spacing w:after="0"/>
      <w:ind w:left="720"/>
      <w:contextualSpacing/>
      <w:jc w:val="left"/>
    </w:pPr>
    <w:rPr>
      <w:rFonts w:ascii="CG Times" w:hAnsi="CG Times" w:cs="Times New Roman"/>
      <w:sz w:val="20"/>
      <w:szCs w:val="20"/>
      <w:lang w:val="en-US" w:eastAsia="el-GR"/>
    </w:rPr>
  </w:style>
  <w:style w:type="character" w:customStyle="1" w:styleId="Heading1Char">
    <w:name w:val="Heading 1 Char"/>
    <w:basedOn w:val="DefaultParagraphFont"/>
    <w:link w:val="Heading1"/>
    <w:uiPriority w:val="9"/>
    <w:rsid w:val="001E649F"/>
    <w:rPr>
      <w:rFonts w:asciiTheme="majorHAnsi" w:eastAsiaTheme="majorEastAsia" w:hAnsiTheme="majorHAnsi" w:cstheme="majorBidi"/>
      <w:color w:val="2E74B5" w:themeColor="accent1" w:themeShade="BF"/>
      <w:sz w:val="32"/>
      <w:szCs w:val="32"/>
      <w:lang w:eastAsia="ar-SA"/>
    </w:rPr>
  </w:style>
  <w:style w:type="paragraph" w:styleId="Header">
    <w:name w:val="header"/>
    <w:basedOn w:val="Normal"/>
    <w:link w:val="HeaderChar"/>
    <w:uiPriority w:val="99"/>
    <w:unhideWhenUsed/>
    <w:rsid w:val="00755ABF"/>
    <w:pPr>
      <w:tabs>
        <w:tab w:val="center" w:pos="4153"/>
        <w:tab w:val="right" w:pos="8306"/>
      </w:tabs>
      <w:spacing w:after="0"/>
    </w:pPr>
  </w:style>
  <w:style w:type="character" w:customStyle="1" w:styleId="HeaderChar">
    <w:name w:val="Header Char"/>
    <w:basedOn w:val="DefaultParagraphFont"/>
    <w:link w:val="Header"/>
    <w:uiPriority w:val="99"/>
    <w:rsid w:val="00755ABF"/>
    <w:rPr>
      <w:rFonts w:ascii="Calibri" w:eastAsia="Times New Roman" w:hAnsi="Calibri" w:cs="Calibri"/>
      <w:szCs w:val="24"/>
      <w:lang w:eastAsia="ar-SA"/>
    </w:rPr>
  </w:style>
  <w:style w:type="paragraph" w:styleId="Footer">
    <w:name w:val="footer"/>
    <w:basedOn w:val="Normal"/>
    <w:link w:val="FooterChar"/>
    <w:uiPriority w:val="99"/>
    <w:unhideWhenUsed/>
    <w:rsid w:val="00755ABF"/>
    <w:pPr>
      <w:tabs>
        <w:tab w:val="center" w:pos="4153"/>
        <w:tab w:val="right" w:pos="8306"/>
      </w:tabs>
      <w:spacing w:after="0"/>
    </w:pPr>
  </w:style>
  <w:style w:type="character" w:customStyle="1" w:styleId="FooterChar">
    <w:name w:val="Footer Char"/>
    <w:basedOn w:val="DefaultParagraphFont"/>
    <w:link w:val="Footer"/>
    <w:uiPriority w:val="99"/>
    <w:rsid w:val="00755ABF"/>
    <w:rPr>
      <w:rFonts w:ascii="Calibri" w:eastAsia="Times New Roman" w:hAnsi="Calibri" w:cs="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2021-12-31T08:04:00Z</dcterms:created>
  <dcterms:modified xsi:type="dcterms:W3CDTF">2021-12-31T08:04:00Z</dcterms:modified>
</cp:coreProperties>
</file>