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5B" w:rsidRPr="009365DF" w:rsidRDefault="009365DF">
      <w:pPr>
        <w:rPr>
          <w:b/>
          <w:lang w:val="el-GR"/>
        </w:rPr>
      </w:pPr>
      <w:bookmarkStart w:id="0" w:name="_GoBack"/>
      <w:bookmarkEnd w:id="0"/>
      <w:r w:rsidRPr="009365DF">
        <w:rPr>
          <w:b/>
          <w:lang w:val="el-GR"/>
        </w:rPr>
        <w:t xml:space="preserve">ΦΥΛΛΟ ΣΥΜΜΟΡΦΩΣΗΣ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B1105B" w:rsidRPr="009E0ECE" w:rsidTr="00E32C62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B1105B" w:rsidRPr="009365DF" w:rsidTr="00E32C62">
        <w:trPr>
          <w:trHeight w:val="4127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b/>
                <w:szCs w:val="22"/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Φυματίνη </w:t>
            </w:r>
            <w:r w:rsidRPr="009E0ECE">
              <w:rPr>
                <w:b/>
                <w:szCs w:val="22"/>
                <w:u w:val="single"/>
              </w:rPr>
              <w:t>PPD</w:t>
            </w:r>
          </w:p>
          <w:p w:rsidR="00B1105B" w:rsidRDefault="00B1105B" w:rsidP="00E32C62">
            <w:pPr>
              <w:pStyle w:val="NoSpacing"/>
              <w:rPr>
                <w:lang w:val="el-GR"/>
              </w:rPr>
            </w:pPr>
          </w:p>
          <w:p w:rsidR="00B1105B" w:rsidRPr="00EB76A0" w:rsidRDefault="00B1105B" w:rsidP="00E32C62">
            <w:pPr>
              <w:pStyle w:val="NoSpacing"/>
              <w:rPr>
                <w:strike/>
                <w:lang w:val="el-GR"/>
              </w:rPr>
            </w:pPr>
            <w:r w:rsidRPr="00EB76A0">
              <w:rPr>
                <w:lang w:val="el-GR"/>
              </w:rPr>
              <w:t>Η κεκαθαρμένη φυματίνη (</w:t>
            </w:r>
            <w:r w:rsidRPr="00557621">
              <w:t>PPD</w:t>
            </w:r>
            <w:r w:rsidRPr="00EB76A0">
              <w:rPr>
                <w:lang w:val="el-GR"/>
              </w:rPr>
              <w:t>) για ανθρώπινη χρήση θα πρέπει να έχει τη μορφή ενέσιμου διαλύματος για τη διενέργεια ενδοδερμικού ελέγχου (</w:t>
            </w:r>
            <w:r w:rsidRPr="00557621">
              <w:t>mantoux</w:t>
            </w:r>
            <w:r w:rsidRPr="00EB76A0">
              <w:rPr>
                <w:lang w:val="el-GR"/>
              </w:rPr>
              <w:t xml:space="preserve">), σε συσκευασία φιαλιδίου πολλαπλών δόσεων. </w:t>
            </w:r>
          </w:p>
          <w:p w:rsidR="00B1105B" w:rsidRPr="00EB76A0" w:rsidRDefault="00B1105B" w:rsidP="00E32C62">
            <w:pPr>
              <w:pStyle w:val="NoSpacing"/>
              <w:rPr>
                <w:lang w:val="el-GR"/>
              </w:rPr>
            </w:pPr>
            <w:r w:rsidRPr="00EB76A0">
              <w:rPr>
                <w:lang w:val="el-GR"/>
              </w:rPr>
              <w:t>Το προϊόν πρέπει να πληροί τις απαιτήσεις του Π.Ο.Υ. για φυματίνη που προορίζεται για ανθρώπινη χρήση (</w:t>
            </w:r>
            <w:r w:rsidRPr="00557621">
              <w:t>WHO</w:t>
            </w:r>
            <w:r w:rsidRPr="00EB76A0">
              <w:rPr>
                <w:lang w:val="el-GR"/>
              </w:rPr>
              <w:t xml:space="preserve"> </w:t>
            </w:r>
            <w:r w:rsidRPr="00557621">
              <w:t>TRS</w:t>
            </w:r>
            <w:r w:rsidRPr="00EB76A0">
              <w:rPr>
                <w:lang w:val="el-GR"/>
              </w:rPr>
              <w:t xml:space="preserve"> 745) ή τις προδιαγραφές της Ευρωπαϊκής Φαρμακοποιίας (0151) ή να ικανοποιεί ισοδύναμα με αυτές πρότυπα, εφόσον αυτό τεκμηριώνεται εγγράφως.</w:t>
            </w:r>
          </w:p>
          <w:p w:rsidR="00B1105B" w:rsidRPr="009E0ECE" w:rsidRDefault="00B1105B" w:rsidP="00E32C62">
            <w:pPr>
              <w:pStyle w:val="NoSpacing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Ειδικοί Όροι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EB76A0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EB76A0">
              <w:rPr>
                <w:color w:val="000000"/>
                <w:lang w:val="el-GR"/>
              </w:rPr>
              <w:t xml:space="preserve"> 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76052A">
              <w:rPr>
                <w:color w:val="000000"/>
              </w:rPr>
              <w:t>SPC</w:t>
            </w:r>
            <w:r w:rsidRPr="00EB76A0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24DF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1C24DF">
              <w:rPr>
                <w:color w:val="000000"/>
                <w:lang w:val="el-GR"/>
              </w:rPr>
              <w:t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B1105B" w:rsidRPr="009E0ECE" w:rsidRDefault="00B1105B" w:rsidP="00E32C62">
            <w:pPr>
              <w:pStyle w:val="NoSpacing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24DF" w:rsidRDefault="00B1105B" w:rsidP="00E32C62">
            <w:pPr>
              <w:pStyle w:val="NoSpacing"/>
              <w:rPr>
                <w:rFonts w:eastAsia="Calibri"/>
                <w:szCs w:val="22"/>
                <w:lang w:val="el-GR"/>
              </w:rPr>
            </w:pPr>
            <w:r w:rsidRPr="001C24DF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76052A">
              <w:rPr>
                <w:color w:val="000000"/>
              </w:rPr>
              <w:t>cGMP</w:t>
            </w:r>
            <w:r w:rsidRPr="001C24DF">
              <w:rPr>
                <w:color w:val="000000"/>
                <w:lang w:val="el-GR"/>
              </w:rPr>
              <w:t>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24DF" w:rsidRDefault="00B1105B" w:rsidP="00E32C62">
            <w:pPr>
              <w:jc w:val="left"/>
              <w:rPr>
                <w:rFonts w:eastAsia="Calibri"/>
                <w:szCs w:val="22"/>
                <w:lang w:val="el-GR"/>
              </w:rPr>
            </w:pPr>
            <w:r w:rsidRPr="001C24DF">
              <w:rPr>
                <w:color w:val="000000"/>
                <w:lang w:val="el-GR"/>
              </w:rPr>
              <w:t>Τα προσφερόμενα προϊόντα απαιτείται να φέρουν ταινία γνησιότητας.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24DF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1C24DF">
              <w:rPr>
                <w:color w:val="000000"/>
                <w:lang w:val="el-GR"/>
              </w:rPr>
              <w:t>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(12)μήνες από την ημερομηνία παράδοσης.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B4050E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B4050E">
              <w:rPr>
                <w:color w:val="000000"/>
                <w:lang w:val="el-GR"/>
              </w:rPr>
              <w:t xml:space="preserve"> 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B1105B" w:rsidRDefault="00B1105B"/>
    <w:p w:rsidR="00B1105B" w:rsidRDefault="00B1105B"/>
    <w:p w:rsidR="00B1105B" w:rsidRDefault="00B1105B"/>
    <w:p w:rsidR="00B1105B" w:rsidRDefault="00B1105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B1105B" w:rsidRPr="009E0ECE" w:rsidTr="00E32C62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B1105B" w:rsidRPr="009365DF" w:rsidTr="00E32C62">
        <w:trPr>
          <w:trHeight w:val="4981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>
              <w:rPr>
                <w:rFonts w:eastAsia="Calibri"/>
                <w:b/>
                <w:szCs w:val="22"/>
                <w:lang w:val="el-G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Default="00B1105B" w:rsidP="00E32C62">
            <w:pPr>
              <w:pStyle w:val="NoSpacing"/>
              <w:rPr>
                <w:b/>
                <w:szCs w:val="22"/>
                <w:u w:val="single"/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Εμβόλιο τυφοειδούς πυρετού</w:t>
            </w: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B35A98" w:rsidRDefault="00B1105B" w:rsidP="00E32C62">
            <w:pPr>
              <w:pStyle w:val="NoSpacing"/>
              <w:rPr>
                <w:lang w:val="el-GR"/>
              </w:rPr>
            </w:pPr>
            <w:r w:rsidRPr="00B35A98">
              <w:rPr>
                <w:lang w:val="el-GR"/>
              </w:rPr>
              <w:t xml:space="preserve">Το προσφερόμενο ενέσιμο σκεύασμα για ανθρώπινη χρήση πρέπει να εμπεριέχει πολυσακχαρίτη </w:t>
            </w:r>
            <w:r w:rsidRPr="00557621">
              <w:t>Vi</w:t>
            </w:r>
            <w:r w:rsidRPr="00B35A98">
              <w:rPr>
                <w:lang w:val="el-GR"/>
              </w:rPr>
              <w:t xml:space="preserve"> του καψιδίου του βακτηρίου </w:t>
            </w:r>
            <w:r w:rsidRPr="00557621">
              <w:t>Salmonella</w:t>
            </w:r>
            <w:r w:rsidRPr="00B35A98">
              <w:rPr>
                <w:lang w:val="el-GR"/>
              </w:rPr>
              <w:t xml:space="preserve"> </w:t>
            </w:r>
            <w:r w:rsidRPr="00557621">
              <w:t>enterica</w:t>
            </w:r>
            <w:r w:rsidRPr="00B35A98">
              <w:rPr>
                <w:lang w:val="el-GR"/>
              </w:rPr>
              <w:t xml:space="preserve"> </w:t>
            </w:r>
            <w:r w:rsidRPr="00557621">
              <w:t>serovar</w:t>
            </w:r>
            <w:r w:rsidRPr="00B35A98">
              <w:rPr>
                <w:lang w:val="el-GR"/>
              </w:rPr>
              <w:t xml:space="preserve"> </w:t>
            </w:r>
            <w:r w:rsidRPr="00557621">
              <w:t>Typhi</w:t>
            </w:r>
            <w:r w:rsidRPr="00B35A98">
              <w:rPr>
                <w:lang w:val="el-GR"/>
              </w:rPr>
              <w:t xml:space="preserve">, στελέχους </w:t>
            </w:r>
            <w:r w:rsidRPr="00557621">
              <w:t>Ty</w:t>
            </w:r>
            <w:r w:rsidRPr="00B35A98">
              <w:rPr>
                <w:lang w:val="el-GR"/>
              </w:rPr>
              <w:t xml:space="preserve"> 2 ή άλλου αντίστοιχου στελέχους που παράγει πολυσακχαρίτη </w:t>
            </w:r>
            <w:r w:rsidRPr="00557621">
              <w:t>Vi</w:t>
            </w:r>
            <w:r w:rsidRPr="00B35A98">
              <w:rPr>
                <w:lang w:val="el-GR"/>
              </w:rPr>
              <w:t>.</w:t>
            </w:r>
          </w:p>
          <w:p w:rsidR="00B1105B" w:rsidRPr="00B35A98" w:rsidRDefault="00B1105B" w:rsidP="00E32C62">
            <w:pPr>
              <w:pStyle w:val="NoSpacing"/>
              <w:rPr>
                <w:lang w:val="el-GR"/>
              </w:rPr>
            </w:pPr>
            <w:r w:rsidRPr="00B35A98">
              <w:rPr>
                <w:lang w:val="el-GR"/>
              </w:rPr>
              <w:t>Το προϊόν θα πρέπει να πληροί τις προδιαγραφές της Ευρωπαϊκής Φαρμακοποιίας (1160) ή του Π.Ο.Υ., όπως αυτές περιγράφονται στην αντίστοιχη έκδοση του Τεχνικού Εγχειρίδιου του Οργανισμού (</w:t>
            </w:r>
            <w:r w:rsidRPr="00557621">
              <w:t>WHO</w:t>
            </w:r>
            <w:r w:rsidRPr="00B35A98">
              <w:rPr>
                <w:lang w:val="el-GR"/>
              </w:rPr>
              <w:t xml:space="preserve"> </w:t>
            </w:r>
            <w:r w:rsidRPr="00557621">
              <w:t>TRS</w:t>
            </w:r>
            <w:r w:rsidRPr="00B35A98">
              <w:rPr>
                <w:lang w:val="el-GR"/>
              </w:rPr>
              <w:t xml:space="preserve"> 840 </w:t>
            </w:r>
            <w:r w:rsidRPr="00557621">
              <w:t>Annex</w:t>
            </w:r>
            <w:r w:rsidRPr="00B35A98">
              <w:rPr>
                <w:lang w:val="el-GR"/>
              </w:rPr>
              <w:t xml:space="preserve"> 1) ή να ικανοποιεί ισοδύναμα με αυτές πρότυπα εφόσον αυτό τεκμηριώνεται εγγράφως.</w:t>
            </w:r>
          </w:p>
          <w:p w:rsidR="00B1105B" w:rsidRPr="00B35A98" w:rsidRDefault="00B1105B" w:rsidP="00E32C62">
            <w:pPr>
              <w:pStyle w:val="NoSpacing"/>
              <w:rPr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Ειδικοί Όροι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Η προσφορά για κάθε σκεύασμα απαιτείται να περιέχει το πρωτόκολλο των διαδικασιών ελέγχου </w:t>
            </w:r>
            <w:r w:rsidRPr="009E0ECE">
              <w:rPr>
                <w:color w:val="000000"/>
                <w:szCs w:val="22"/>
                <w:lang w:val="el-GR"/>
              </w:rPr>
              <w:lastRenderedPageBreak/>
              <w:t>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9E0ECE">
              <w:rPr>
                <w:color w:val="000000"/>
                <w:szCs w:val="22"/>
              </w:rPr>
              <w:t>SPC</w:t>
            </w:r>
            <w:r w:rsidRPr="009E0ECE">
              <w:rPr>
                <w:color w:val="000000"/>
                <w:szCs w:val="22"/>
                <w:lang w:val="el-GR"/>
              </w:rPr>
              <w:t>) στην αγγλική, ή σε επικυρωμένη μετάφραση στην ελληνική γλώσσα.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9E0ECE">
              <w:rPr>
                <w:color w:val="000000"/>
                <w:szCs w:val="22"/>
              </w:rPr>
              <w:t>cGMP</w:t>
            </w:r>
            <w:r w:rsidRPr="009E0ECE">
              <w:rPr>
                <w:color w:val="000000"/>
                <w:szCs w:val="22"/>
                <w:lang w:val="el-GR"/>
              </w:rPr>
              <w:t>).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(12)μήνες από την ημερομηνία παράδοσης.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B35A98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rPr>
          <w:trHeight w:val="86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B1105B" w:rsidRPr="00B1105B" w:rsidRDefault="00B1105B">
      <w:pPr>
        <w:rPr>
          <w:lang w:val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B1105B" w:rsidRPr="009E0ECE" w:rsidTr="00E32C62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B1105B" w:rsidRPr="009365DF" w:rsidTr="00E32C62">
        <w:trPr>
          <w:trHeight w:val="5593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>
              <w:rPr>
                <w:rFonts w:eastAsia="Calibri"/>
                <w:b/>
                <w:szCs w:val="22"/>
                <w:lang w:val="el-GR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Ενέσιμο εμβόλιο πολιομυελίτιδας </w:t>
            </w: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557621" w:rsidRDefault="00B1105B" w:rsidP="00E32C62">
            <w:pPr>
              <w:pStyle w:val="NoSpacing"/>
              <w:rPr>
                <w:lang w:val="el-GR"/>
              </w:rPr>
            </w:pPr>
            <w:r w:rsidRPr="00756655">
              <w:rPr>
                <w:lang w:val="el-GR"/>
              </w:rPr>
              <w:t xml:space="preserve">Το προσφερόμενο σκεύασμα για ανθρώπινη χρήση πρέπει να εμπεριέχει τρεις τύπους απενεργοποιημένων κεκαθαρμένων πολιοϊών, ήτοι Τύπο 1, Τύπο 2 και Τύπο 3, απομονωμένων από συνεχείς καλλιέργειες κυτταρικών σειρών. Μια εμβολιαστική δόση πρέπει να περιέχει 40 μονάδες </w:t>
            </w:r>
            <w:r w:rsidRPr="00557621">
              <w:t>D</w:t>
            </w:r>
            <w:r w:rsidRPr="00756655">
              <w:rPr>
                <w:lang w:val="el-GR"/>
              </w:rPr>
              <w:t xml:space="preserve">-αντιγόνου Τύπου 1, 8 μονάδες </w:t>
            </w:r>
            <w:r w:rsidRPr="00557621">
              <w:t>D</w:t>
            </w:r>
            <w:r w:rsidRPr="00756655">
              <w:rPr>
                <w:lang w:val="el-GR"/>
              </w:rPr>
              <w:t xml:space="preserve">-αντιγόνου Τύπου 2 και 32 μονάδες </w:t>
            </w:r>
            <w:r w:rsidRPr="00557621">
              <w:t>D</w:t>
            </w:r>
            <w:r w:rsidRPr="00756655">
              <w:rPr>
                <w:lang w:val="el-GR"/>
              </w:rPr>
              <w:t>-αντιγόνου Τύπου 3.</w:t>
            </w:r>
          </w:p>
          <w:p w:rsidR="00B1105B" w:rsidRPr="00756655" w:rsidRDefault="00B1105B" w:rsidP="00E32C62">
            <w:pPr>
              <w:pStyle w:val="NoSpacing"/>
              <w:rPr>
                <w:lang w:val="el-GR"/>
              </w:rPr>
            </w:pPr>
            <w:r w:rsidRPr="00756655">
              <w:rPr>
                <w:lang w:val="el-GR"/>
              </w:rPr>
              <w:t>Το προϊόν πρέπει να πληροί τις προδιαγραφές της Ευρωπαϊκής Φαρμακοποιίας (0214) ή του Π.Ο.Υ., όπως αυτές περιγράφονται στην αντίστοιχη έκδοση του Τεχνικού Εγχειρίδιου του Οργανισμού (</w:t>
            </w:r>
            <w:r w:rsidRPr="00F57C46">
              <w:rPr>
                <w:lang w:val="el-GR"/>
              </w:rPr>
              <w:t xml:space="preserve"> </w:t>
            </w:r>
            <w:r w:rsidRPr="0074280F">
              <w:t>WHO</w:t>
            </w:r>
            <w:r w:rsidRPr="0074280F">
              <w:rPr>
                <w:lang w:val="el-GR"/>
              </w:rPr>
              <w:t xml:space="preserve"> </w:t>
            </w:r>
            <w:r w:rsidRPr="0074280F">
              <w:t>TRS</w:t>
            </w:r>
            <w:r w:rsidRPr="00D17F37">
              <w:rPr>
                <w:lang w:val="el-GR"/>
              </w:rPr>
              <w:t xml:space="preserve"> 993 </w:t>
            </w:r>
            <w:r>
              <w:t>Annex</w:t>
            </w:r>
            <w:r w:rsidRPr="00D17F37">
              <w:rPr>
                <w:lang w:val="el-GR"/>
              </w:rPr>
              <w:t xml:space="preserve"> 3, </w:t>
            </w:r>
            <w:r>
              <w:t>TRS</w:t>
            </w:r>
            <w:r w:rsidRPr="00D17F37">
              <w:rPr>
                <w:lang w:val="el-GR"/>
              </w:rPr>
              <w:t xml:space="preserve"> 1024 </w:t>
            </w:r>
            <w:r>
              <w:t>Annex</w:t>
            </w:r>
            <w:r w:rsidRPr="00D17F37">
              <w:rPr>
                <w:lang w:val="el-GR"/>
              </w:rPr>
              <w:t xml:space="preserve"> 3, </w:t>
            </w:r>
            <w:r>
              <w:t>TRS</w:t>
            </w:r>
            <w:r w:rsidRPr="00D17F37">
              <w:rPr>
                <w:lang w:val="el-GR"/>
              </w:rPr>
              <w:t xml:space="preserve"> 1016 </w:t>
            </w:r>
            <w:r>
              <w:t>Annex</w:t>
            </w:r>
            <w:r w:rsidRPr="00D17F37">
              <w:rPr>
                <w:lang w:val="el-GR"/>
              </w:rPr>
              <w:t xml:space="preserve"> 4, </w:t>
            </w:r>
            <w:r>
              <w:t>TRS</w:t>
            </w:r>
            <w:r w:rsidRPr="00D17F37">
              <w:rPr>
                <w:lang w:val="el-GR"/>
              </w:rPr>
              <w:t xml:space="preserve"> 1028 </w:t>
            </w:r>
            <w:r>
              <w:t>Annex</w:t>
            </w:r>
            <w:r w:rsidRPr="00D17F37">
              <w:rPr>
                <w:lang w:val="el-GR"/>
              </w:rPr>
              <w:t xml:space="preserve"> 3</w:t>
            </w:r>
            <w:r w:rsidRPr="00756655">
              <w:rPr>
                <w:lang w:val="el-GR"/>
              </w:rPr>
              <w:t>) ή να ικανοποιεί ισοδύναμα με αυτές πρότυπα εφόσον αυτό τεκμηριώνεται εγγράφως.</w:t>
            </w: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Ειδικοί Όροι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40B7" w:rsidRDefault="00B1105B" w:rsidP="00E32C62">
            <w:pPr>
              <w:pStyle w:val="NoSpacing"/>
              <w:rPr>
                <w:rFonts w:eastAsia="Calibri"/>
                <w:szCs w:val="22"/>
                <w:lang w:val="el-GR"/>
              </w:rPr>
            </w:pPr>
            <w:r w:rsidRPr="001C40B7">
              <w:rPr>
                <w:color w:val="000000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76052A">
              <w:rPr>
                <w:color w:val="000000"/>
              </w:rPr>
              <w:t>SPC</w:t>
            </w:r>
            <w:r w:rsidRPr="001C40B7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40B7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1C40B7">
              <w:rPr>
                <w:color w:val="000000"/>
                <w:lang w:val="el-GR"/>
              </w:rPr>
              <w:t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B1105B" w:rsidRPr="009E0ECE" w:rsidRDefault="00B1105B" w:rsidP="00E32C62">
            <w:pPr>
              <w:pStyle w:val="NoSpacing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40B7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1C40B7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76052A">
              <w:rPr>
                <w:color w:val="000000"/>
              </w:rPr>
              <w:t>cGMP</w:t>
            </w:r>
            <w:r w:rsidRPr="001C40B7">
              <w:rPr>
                <w:color w:val="000000"/>
                <w:lang w:val="el-GR"/>
              </w:rPr>
              <w:t>).</w:t>
            </w:r>
          </w:p>
          <w:p w:rsidR="00B1105B" w:rsidRPr="009E0ECE" w:rsidRDefault="00B1105B" w:rsidP="00E32C62">
            <w:pPr>
              <w:pStyle w:val="NoSpacing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40B7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1C40B7">
              <w:rPr>
                <w:color w:val="000000"/>
                <w:lang w:val="el-GR"/>
              </w:rPr>
              <w:t>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(12)μήνες από την ημερομηνία παράδοσης.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1C40B7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1C40B7">
              <w:rPr>
                <w:color w:val="000000"/>
                <w:lang w:val="el-GR"/>
              </w:rPr>
              <w:t xml:space="preserve"> 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  <w:p w:rsidR="00B1105B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  <w:p w:rsidR="00B1105B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B1105B" w:rsidRDefault="00B1105B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p w:rsidR="006462E7" w:rsidRDefault="006462E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B1105B" w:rsidRPr="009E0ECE" w:rsidTr="00E32C62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B1105B" w:rsidRPr="009365DF" w:rsidTr="00E32C62">
        <w:trPr>
          <w:trHeight w:val="5377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>
              <w:rPr>
                <w:rFonts w:eastAsia="Calibri"/>
                <w:b/>
                <w:szCs w:val="22"/>
                <w:lang w:val="el-GR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b/>
                <w:szCs w:val="22"/>
                <w:u w:val="single"/>
                <w:lang w:val="el-GR"/>
              </w:rPr>
            </w:pPr>
            <w:r w:rsidRPr="009E0ECE">
              <w:rPr>
                <w:b/>
                <w:szCs w:val="22"/>
                <w:u w:val="single"/>
                <w:lang w:val="el-GR"/>
              </w:rPr>
              <w:t xml:space="preserve"> Αντιλυσσικό εμβόλιο</w:t>
            </w: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1C40B7" w:rsidRDefault="00B1105B" w:rsidP="00E32C62">
            <w:pPr>
              <w:pStyle w:val="NoSpacing"/>
              <w:rPr>
                <w:lang w:val="el-GR"/>
              </w:rPr>
            </w:pPr>
            <w:r w:rsidRPr="001C40B7">
              <w:rPr>
                <w:lang w:val="el-GR"/>
              </w:rPr>
              <w:t xml:space="preserve">Το προσφερόμενο σκεύασμα για ανθρώπινη χρήση, θα πρέπει να εμπεριέχει απενεργοποιημένο ιό λύσσας (στέλεχος </w:t>
            </w:r>
            <w:r w:rsidRPr="00557621">
              <w:t>Pitman</w:t>
            </w:r>
            <w:r w:rsidRPr="001C40B7">
              <w:rPr>
                <w:lang w:val="el-GR"/>
              </w:rPr>
              <w:t xml:space="preserve"> </w:t>
            </w:r>
            <w:r w:rsidRPr="00557621">
              <w:t>Moore</w:t>
            </w:r>
            <w:r w:rsidRPr="001C40B7">
              <w:rPr>
                <w:lang w:val="el-GR"/>
              </w:rPr>
              <w:t xml:space="preserve"> ή </w:t>
            </w:r>
            <w:r w:rsidRPr="00557621">
              <w:t>Pasteur</w:t>
            </w:r>
            <w:r w:rsidRPr="001C40B7">
              <w:rPr>
                <w:lang w:val="el-GR"/>
              </w:rPr>
              <w:t xml:space="preserve"> ή </w:t>
            </w:r>
            <w:r w:rsidRPr="00557621">
              <w:t>Flury</w:t>
            </w:r>
            <w:r w:rsidRPr="001C40B7">
              <w:rPr>
                <w:lang w:val="el-GR"/>
              </w:rPr>
              <w:t xml:space="preserve"> </w:t>
            </w:r>
            <w:r w:rsidRPr="00557621">
              <w:t>LEP</w:t>
            </w:r>
            <w:r w:rsidRPr="001C40B7">
              <w:rPr>
                <w:lang w:val="el-GR"/>
              </w:rPr>
              <w:t xml:space="preserve"> ή </w:t>
            </w:r>
            <w:r w:rsidRPr="00557621">
              <w:t>Vnukovo</w:t>
            </w:r>
            <w:r w:rsidRPr="001C40B7">
              <w:rPr>
                <w:lang w:val="el-GR"/>
              </w:rPr>
              <w:t xml:space="preserve"> –32 ή </w:t>
            </w:r>
            <w:r w:rsidRPr="00557621">
              <w:t>CTN</w:t>
            </w:r>
            <w:r w:rsidRPr="001C40B7">
              <w:rPr>
                <w:lang w:val="el-GR"/>
              </w:rPr>
              <w:t xml:space="preserve"> κ.λπ.), ο οποίος παρήχθη σε συνθήκες, είτε κυτταρικής καλλιέργειας διπλοειδών κυττάρων, είτε σε συνεχείς καλλιέργειες κυτταρικών σειρών.</w:t>
            </w:r>
          </w:p>
          <w:p w:rsidR="00B1105B" w:rsidRPr="001C40B7" w:rsidRDefault="00B1105B" w:rsidP="00E32C62">
            <w:pPr>
              <w:pStyle w:val="NoSpacing"/>
              <w:rPr>
                <w:lang w:val="el-GR"/>
              </w:rPr>
            </w:pPr>
            <w:r w:rsidRPr="001C40B7">
              <w:rPr>
                <w:lang w:val="el-GR"/>
              </w:rPr>
              <w:t>Το προϊόν πρέπει να πληροί τις προδιαγραφές της Ευρωπαϊκής Φαρμακοποιίας (0216) ή του Π.Ο.Υ., όπως αυτές περιγράφονται στην αντίστοιχη έκδοση του Τεχνικού Εγχειρίδιου του Οργανισμού (</w:t>
            </w:r>
            <w:r w:rsidRPr="00557621">
              <w:t>WHO</w:t>
            </w:r>
            <w:r w:rsidRPr="001C40B7">
              <w:rPr>
                <w:lang w:val="el-GR"/>
              </w:rPr>
              <w:t xml:space="preserve"> </w:t>
            </w:r>
            <w:r w:rsidRPr="00557621">
              <w:t>TRS</w:t>
            </w:r>
            <w:r w:rsidRPr="001C40B7">
              <w:rPr>
                <w:lang w:val="el-GR"/>
              </w:rPr>
              <w:t xml:space="preserve"> 941 </w:t>
            </w:r>
            <w:r w:rsidRPr="00557621">
              <w:t>Annex</w:t>
            </w:r>
            <w:r w:rsidRPr="001C40B7">
              <w:rPr>
                <w:lang w:val="el-GR"/>
              </w:rPr>
              <w:t xml:space="preserve"> 2) ή να ικανοποιεί ισοδύναμα με αυτές πρότυπα εφόσον αυτό τεκμηριώνεται εγγράφως.</w:t>
            </w: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szCs w:val="22"/>
                <w:lang w:val="el-GR"/>
              </w:rPr>
            </w:pPr>
          </w:p>
          <w:p w:rsidR="00B1105B" w:rsidRPr="009E0ECE" w:rsidRDefault="00B1105B" w:rsidP="00E32C62">
            <w:pPr>
              <w:pStyle w:val="NoSpacing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Ειδικοί Όροι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B35A98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B35A98">
              <w:rPr>
                <w:color w:val="000000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76052A">
              <w:rPr>
                <w:color w:val="000000"/>
              </w:rPr>
              <w:t>SPC</w:t>
            </w:r>
            <w:r w:rsidRPr="00B35A98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9E0ECE">
              <w:rPr>
                <w:color w:val="000000"/>
                <w:szCs w:val="22"/>
              </w:rPr>
              <w:t>cGMP</w:t>
            </w:r>
            <w:r w:rsidRPr="009E0ECE">
              <w:rPr>
                <w:color w:val="000000"/>
                <w:szCs w:val="22"/>
                <w:lang w:val="el-GR"/>
              </w:rPr>
              <w:t>).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B35A98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(12)μήνες από την ημερομηνία παράδοσης.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365DF" w:rsidTr="00E32C62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B35A98" w:rsidRDefault="00B1105B" w:rsidP="00E32C62">
            <w:pPr>
              <w:pStyle w:val="NoSpacing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B1105B" w:rsidRPr="009E0ECE" w:rsidTr="00E32C62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1105B" w:rsidRPr="009E0ECE" w:rsidRDefault="00B1105B" w:rsidP="00E32C62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05B" w:rsidRPr="009E0ECE" w:rsidRDefault="00B1105B" w:rsidP="00E32C62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B1105B" w:rsidRDefault="00B1105B"/>
    <w:p w:rsidR="00B1105B" w:rsidRDefault="00B1105B"/>
    <w:p w:rsidR="00B1105B" w:rsidRDefault="00B1105B"/>
    <w:p w:rsidR="00B1105B" w:rsidRDefault="00B1105B"/>
    <w:p w:rsidR="00B1105B" w:rsidRDefault="00B1105B"/>
    <w:p w:rsidR="00B1105B" w:rsidRDefault="00B1105B"/>
    <w:p w:rsidR="00B1105B" w:rsidRDefault="00B1105B"/>
    <w:p w:rsidR="00B1105B" w:rsidRDefault="00B1105B"/>
    <w:sectPr w:rsidR="00B1105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56" w:rsidRDefault="00483B56" w:rsidP="00B1105B">
      <w:pPr>
        <w:spacing w:after="0"/>
      </w:pPr>
      <w:r>
        <w:separator/>
      </w:r>
    </w:p>
  </w:endnote>
  <w:endnote w:type="continuationSeparator" w:id="0">
    <w:p w:rsidR="00483B56" w:rsidRDefault="00483B56" w:rsidP="00B11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00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05B" w:rsidRDefault="00B110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F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05B" w:rsidRDefault="00B11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56" w:rsidRDefault="00483B56" w:rsidP="00B1105B">
      <w:pPr>
        <w:spacing w:after="0"/>
      </w:pPr>
      <w:r>
        <w:separator/>
      </w:r>
    </w:p>
  </w:footnote>
  <w:footnote w:type="continuationSeparator" w:id="0">
    <w:p w:rsidR="00483B56" w:rsidRDefault="00483B56" w:rsidP="00B11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5B" w:rsidRDefault="00B1105B">
    <w:pPr>
      <w:pStyle w:val="Header"/>
    </w:pPr>
  </w:p>
  <w:p w:rsidR="00B1105B" w:rsidRDefault="00B11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5B"/>
    <w:rsid w:val="00483B56"/>
    <w:rsid w:val="006462E7"/>
    <w:rsid w:val="0067600F"/>
    <w:rsid w:val="00846F61"/>
    <w:rsid w:val="009365DF"/>
    <w:rsid w:val="00B1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297A4F-8264-45EA-BF0B-AA1D08E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5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05B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105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105B"/>
    <w:rPr>
      <w:rFonts w:ascii="Calibri" w:eastAsia="Times New Roman" w:hAnsi="Calibri" w:cs="Calibri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1105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105B"/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Μαρία Αποστολάκη</cp:lastModifiedBy>
  <cp:revision>2</cp:revision>
  <dcterms:created xsi:type="dcterms:W3CDTF">2021-11-05T12:22:00Z</dcterms:created>
  <dcterms:modified xsi:type="dcterms:W3CDTF">2021-11-05T12:22:00Z</dcterms:modified>
</cp:coreProperties>
</file>