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7C" w:rsidRDefault="00C83D7C"/>
    <w:p w:rsidR="00C74BD7" w:rsidRDefault="00C74BD7"/>
    <w:p w:rsidR="00C74BD7" w:rsidRPr="00C74BD7" w:rsidRDefault="00C74BD7">
      <w:pPr>
        <w:rPr>
          <w:b/>
          <w:u w:val="single"/>
          <w:lang w:val="el-GR"/>
        </w:rPr>
      </w:pPr>
      <w:bookmarkStart w:id="0" w:name="_GoBack"/>
      <w:bookmarkEnd w:id="0"/>
      <w:r w:rsidRPr="00C74BD7">
        <w:rPr>
          <w:b/>
          <w:u w:val="single"/>
          <w:lang w:val="el-GR"/>
        </w:rPr>
        <w:t>ΦΥΛΛΟ ΣΥΜΜΟΡΦΩΣΗΣ</w:t>
      </w:r>
    </w:p>
    <w:p w:rsidR="00C74BD7" w:rsidRDefault="00C74BD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3968"/>
        <w:gridCol w:w="1050"/>
        <w:gridCol w:w="1050"/>
        <w:gridCol w:w="1618"/>
      </w:tblGrid>
      <w:tr w:rsidR="00C74BD7" w:rsidRPr="00AF4673" w:rsidTr="007C2311">
        <w:trPr>
          <w:trHeight w:val="960"/>
        </w:trPr>
        <w:tc>
          <w:tcPr>
            <w:tcW w:w="310" w:type="pct"/>
            <w:shd w:val="clear" w:color="auto" w:fill="auto"/>
            <w:noWrap/>
            <w:vAlign w:val="center"/>
            <w:hideMark/>
          </w:tcPr>
          <w:p w:rsidR="00C74BD7" w:rsidRPr="00AF4673" w:rsidRDefault="00C74BD7" w:rsidP="007C2311">
            <w:pPr>
              <w:suppressAutoHyphens w:val="0"/>
              <w:spacing w:after="0"/>
              <w:jc w:val="center"/>
              <w:rPr>
                <w:rFonts w:cs="Arial"/>
                <w:b/>
                <w:bCs/>
                <w:sz w:val="24"/>
                <w:lang w:val="el-GR" w:eastAsia="el-GR"/>
              </w:rPr>
            </w:pPr>
            <w:r w:rsidRPr="00AF4673">
              <w:rPr>
                <w:rFonts w:cs="Arial"/>
                <w:b/>
                <w:bCs/>
                <w:sz w:val="24"/>
                <w:lang w:val="el-GR" w:eastAsia="el-GR"/>
              </w:rPr>
              <w:t>Α/Α</w:t>
            </w:r>
          </w:p>
        </w:tc>
        <w:tc>
          <w:tcPr>
            <w:tcW w:w="2406" w:type="pct"/>
            <w:shd w:val="clear" w:color="auto" w:fill="auto"/>
            <w:vAlign w:val="center"/>
            <w:hideMark/>
          </w:tcPr>
          <w:p w:rsidR="00C74BD7" w:rsidRPr="00AF4673" w:rsidRDefault="00C74BD7" w:rsidP="007C2311">
            <w:pPr>
              <w:suppressAutoHyphens w:val="0"/>
              <w:spacing w:after="0"/>
              <w:jc w:val="center"/>
              <w:rPr>
                <w:rFonts w:cs="Arial"/>
                <w:b/>
                <w:bCs/>
                <w:sz w:val="24"/>
                <w:lang w:val="el-GR" w:eastAsia="el-GR"/>
              </w:rPr>
            </w:pPr>
            <w:r w:rsidRPr="00AF4673">
              <w:rPr>
                <w:rFonts w:cs="Arial"/>
                <w:b/>
                <w:bCs/>
                <w:sz w:val="24"/>
                <w:lang w:val="el-GR" w:eastAsia="el-GR"/>
              </w:rPr>
              <w:t>Τεχνικά Χαρακτηριστικά</w:t>
            </w:r>
          </w:p>
        </w:tc>
        <w:tc>
          <w:tcPr>
            <w:tcW w:w="647" w:type="pct"/>
          </w:tcPr>
          <w:p w:rsidR="00C74BD7" w:rsidRDefault="00C74BD7" w:rsidP="007C2311">
            <w:pPr>
              <w:suppressAutoHyphens w:val="0"/>
              <w:spacing w:after="0"/>
              <w:jc w:val="center"/>
              <w:rPr>
                <w:rFonts w:cs="Arial"/>
                <w:b/>
                <w:bCs/>
                <w:sz w:val="24"/>
                <w:lang w:val="el-GR" w:eastAsia="el-GR"/>
              </w:rPr>
            </w:pPr>
          </w:p>
          <w:p w:rsidR="00C74BD7" w:rsidRPr="00AF4673" w:rsidRDefault="00C74BD7" w:rsidP="007C2311">
            <w:pPr>
              <w:suppressAutoHyphens w:val="0"/>
              <w:spacing w:after="0"/>
              <w:jc w:val="center"/>
              <w:rPr>
                <w:rFonts w:cs="Arial"/>
                <w:b/>
                <w:bCs/>
                <w:sz w:val="24"/>
                <w:lang w:val="el-GR" w:eastAsia="el-GR"/>
              </w:rPr>
            </w:pPr>
            <w:r>
              <w:rPr>
                <w:rFonts w:cs="Arial"/>
                <w:b/>
                <w:bCs/>
                <w:sz w:val="24"/>
                <w:lang w:val="el-GR" w:eastAsia="el-GR"/>
              </w:rPr>
              <w:t>ΝΑΙ</w:t>
            </w:r>
          </w:p>
        </w:tc>
        <w:tc>
          <w:tcPr>
            <w:tcW w:w="647" w:type="pct"/>
          </w:tcPr>
          <w:p w:rsidR="00C74BD7" w:rsidRDefault="00C74BD7" w:rsidP="007C2311">
            <w:pPr>
              <w:suppressAutoHyphens w:val="0"/>
              <w:spacing w:after="0"/>
              <w:jc w:val="center"/>
              <w:rPr>
                <w:rFonts w:cs="Arial"/>
                <w:b/>
                <w:bCs/>
                <w:sz w:val="24"/>
                <w:lang w:val="el-GR" w:eastAsia="el-GR"/>
              </w:rPr>
            </w:pPr>
          </w:p>
          <w:p w:rsidR="00C74BD7" w:rsidRPr="00AF4673" w:rsidRDefault="00C74BD7" w:rsidP="007C2311">
            <w:pPr>
              <w:suppressAutoHyphens w:val="0"/>
              <w:spacing w:after="0"/>
              <w:jc w:val="center"/>
              <w:rPr>
                <w:rFonts w:cs="Arial"/>
                <w:b/>
                <w:bCs/>
                <w:sz w:val="24"/>
                <w:lang w:val="el-GR" w:eastAsia="el-GR"/>
              </w:rPr>
            </w:pPr>
            <w:r>
              <w:rPr>
                <w:rFonts w:cs="Arial"/>
                <w:b/>
                <w:bCs/>
                <w:sz w:val="24"/>
                <w:lang w:val="el-GR" w:eastAsia="el-GR"/>
              </w:rPr>
              <w:t>ΟΧΙ</w:t>
            </w:r>
          </w:p>
        </w:tc>
        <w:tc>
          <w:tcPr>
            <w:tcW w:w="989" w:type="pct"/>
          </w:tcPr>
          <w:p w:rsidR="00C74BD7" w:rsidRDefault="00C74BD7" w:rsidP="007C2311">
            <w:pPr>
              <w:suppressAutoHyphens w:val="0"/>
              <w:spacing w:after="0"/>
              <w:jc w:val="center"/>
              <w:rPr>
                <w:rFonts w:cs="Arial"/>
                <w:b/>
                <w:bCs/>
                <w:sz w:val="24"/>
                <w:lang w:val="el-GR" w:eastAsia="el-GR"/>
              </w:rPr>
            </w:pPr>
          </w:p>
          <w:p w:rsidR="00C74BD7" w:rsidRPr="00AF4673" w:rsidRDefault="00C74BD7" w:rsidP="007C2311">
            <w:pPr>
              <w:suppressAutoHyphens w:val="0"/>
              <w:spacing w:after="0"/>
              <w:jc w:val="center"/>
              <w:rPr>
                <w:rFonts w:cs="Arial"/>
                <w:b/>
                <w:bCs/>
                <w:sz w:val="24"/>
                <w:lang w:val="el-GR" w:eastAsia="el-GR"/>
              </w:rPr>
            </w:pPr>
            <w:r>
              <w:rPr>
                <w:rFonts w:cs="Arial"/>
                <w:b/>
                <w:bCs/>
                <w:sz w:val="24"/>
                <w:lang w:val="el-GR" w:eastAsia="el-GR"/>
              </w:rPr>
              <w:t>ΠΑΡΑΠΟΜΠΗ</w:t>
            </w:r>
          </w:p>
        </w:tc>
      </w:tr>
      <w:tr w:rsidR="00C74BD7" w:rsidRPr="00AF4673" w:rsidTr="007C2311">
        <w:trPr>
          <w:trHeight w:val="3300"/>
        </w:trPr>
        <w:tc>
          <w:tcPr>
            <w:tcW w:w="310" w:type="pct"/>
            <w:shd w:val="clear" w:color="auto" w:fill="auto"/>
            <w:noWrap/>
            <w:vAlign w:val="center"/>
            <w:hideMark/>
          </w:tcPr>
          <w:p w:rsidR="00C74BD7" w:rsidRPr="00AF4673" w:rsidRDefault="00C74BD7" w:rsidP="007C2311">
            <w:pPr>
              <w:suppressAutoHyphens w:val="0"/>
              <w:spacing w:after="0"/>
              <w:jc w:val="center"/>
              <w:rPr>
                <w:rFonts w:cs="Arial"/>
                <w:b/>
                <w:bCs/>
                <w:sz w:val="24"/>
                <w:highlight w:val="yellow"/>
                <w:lang w:val="el-GR" w:eastAsia="el-GR"/>
              </w:rPr>
            </w:pPr>
            <w:r w:rsidRPr="00AF4673">
              <w:rPr>
                <w:rFonts w:cs="Arial"/>
                <w:b/>
                <w:bCs/>
                <w:sz w:val="24"/>
                <w:lang w:val="el-GR" w:eastAsia="el-GR"/>
              </w:rPr>
              <w:t>1.1</w:t>
            </w:r>
          </w:p>
        </w:tc>
        <w:tc>
          <w:tcPr>
            <w:tcW w:w="2406" w:type="pct"/>
            <w:shd w:val="clear" w:color="auto" w:fill="auto"/>
            <w:vAlign w:val="center"/>
            <w:hideMark/>
          </w:tcPr>
          <w:p w:rsidR="00C74BD7" w:rsidRPr="00AF4673" w:rsidRDefault="00C74BD7" w:rsidP="007C2311">
            <w:pPr>
              <w:suppressAutoHyphens w:val="0"/>
              <w:spacing w:after="0"/>
              <w:jc w:val="center"/>
              <w:rPr>
                <w:rFonts w:cs="Arial"/>
                <w:sz w:val="24"/>
                <w:highlight w:val="yellow"/>
                <w:lang w:val="el-GR" w:eastAsia="el-GR"/>
              </w:rPr>
            </w:pPr>
            <w:r w:rsidRPr="00AF4673">
              <w:rPr>
                <w:rFonts w:cs="Arial"/>
                <w:sz w:val="24"/>
                <w:lang w:val="el-GR" w:eastAsia="el-GR"/>
              </w:rPr>
              <w:t xml:space="preserve">Μέσο καλλιέργειας με καθορισμένη σύνθεση, χωρίς ορό, βελτιστοποιημένο για την καλλιέργεια και ανάπτυξη νευρικών προγονικών κυττάρων που προέρχονται από ανθρώπινα εμβρυικά βλαστικά και επαγόμενα πολυδύναμα βλαστικά κύτταρα. Τα νευρικά προγονικά κύτταρα που καλλιεργούνται σε αυτό το υλικό μπορούν να αυξηθούν σε αριθμό κατά 3-5 φορές σε κάθε πέρασμα και να καλλιεργηθούν για τουλάχιστον 10 περάσματα με ελάχιστη αυθόρμητη </w:t>
            </w:r>
            <w:proofErr w:type="spellStart"/>
            <w:r w:rsidRPr="00AF4673">
              <w:rPr>
                <w:rFonts w:cs="Arial"/>
                <w:sz w:val="24"/>
                <w:lang w:val="el-GR" w:eastAsia="el-GR"/>
              </w:rPr>
              <w:t>νευρωνική</w:t>
            </w:r>
            <w:proofErr w:type="spellEnd"/>
            <w:r w:rsidRPr="00AF4673">
              <w:rPr>
                <w:rFonts w:cs="Arial"/>
                <w:sz w:val="24"/>
                <w:lang w:val="el-GR" w:eastAsia="el-GR"/>
              </w:rPr>
              <w:t xml:space="preserve"> διαφοροποίηση. Να παρέχεται ως </w:t>
            </w:r>
            <w:proofErr w:type="spellStart"/>
            <w:r w:rsidRPr="00AF4673">
              <w:rPr>
                <w:rFonts w:cs="Arial"/>
                <w:sz w:val="24"/>
                <w:lang w:val="el-GR" w:eastAsia="el-GR"/>
              </w:rPr>
              <w:t>κιτ</w:t>
            </w:r>
            <w:proofErr w:type="spellEnd"/>
            <w:r w:rsidRPr="00AF4673">
              <w:rPr>
                <w:rFonts w:cs="Arial"/>
                <w:sz w:val="24"/>
                <w:lang w:val="el-GR" w:eastAsia="el-GR"/>
              </w:rPr>
              <w:t xml:space="preserve"> που περιλαμβάνει το βασικό υλικό σε συσκευασία 500 </w:t>
            </w:r>
            <w:proofErr w:type="spellStart"/>
            <w:r w:rsidRPr="00AF4673">
              <w:rPr>
                <w:rFonts w:cs="Arial"/>
                <w:sz w:val="24"/>
                <w:lang w:val="el-GR" w:eastAsia="el-GR"/>
              </w:rPr>
              <w:t>ml</w:t>
            </w:r>
            <w:proofErr w:type="spellEnd"/>
            <w:r w:rsidRPr="00AF4673">
              <w:rPr>
                <w:rFonts w:cs="Arial"/>
                <w:sz w:val="24"/>
                <w:lang w:val="el-GR" w:eastAsia="el-GR"/>
              </w:rPr>
              <w:t xml:space="preserve"> και δύο συμπληρώματα, ένα διάλυμα συγκέντρωσης 50X σε συσκευασία 10 </w:t>
            </w:r>
            <w:proofErr w:type="spellStart"/>
            <w:r w:rsidRPr="00AF4673">
              <w:rPr>
                <w:rFonts w:cs="Arial"/>
                <w:sz w:val="24"/>
                <w:lang w:val="el-GR" w:eastAsia="el-GR"/>
              </w:rPr>
              <w:t>ml</w:t>
            </w:r>
            <w:proofErr w:type="spellEnd"/>
            <w:r w:rsidRPr="00AF4673">
              <w:rPr>
                <w:rFonts w:cs="Arial"/>
                <w:sz w:val="24"/>
                <w:lang w:val="el-GR" w:eastAsia="el-GR"/>
              </w:rPr>
              <w:t xml:space="preserve"> και ένα διάλυμα συγκέντρωσης 1000X σε συσκευασία 500 µL.</w:t>
            </w:r>
          </w:p>
        </w:tc>
        <w:tc>
          <w:tcPr>
            <w:tcW w:w="647" w:type="pct"/>
          </w:tcPr>
          <w:p w:rsidR="00C74BD7" w:rsidRPr="00AF4673" w:rsidRDefault="00C74BD7" w:rsidP="007C2311">
            <w:pPr>
              <w:suppressAutoHyphens w:val="0"/>
              <w:spacing w:after="0"/>
              <w:jc w:val="center"/>
              <w:rPr>
                <w:rFonts w:cs="Arial"/>
                <w:sz w:val="24"/>
                <w:lang w:val="el-GR" w:eastAsia="el-GR"/>
              </w:rPr>
            </w:pPr>
          </w:p>
        </w:tc>
        <w:tc>
          <w:tcPr>
            <w:tcW w:w="647" w:type="pct"/>
          </w:tcPr>
          <w:p w:rsidR="00C74BD7" w:rsidRPr="00AF4673" w:rsidRDefault="00C74BD7" w:rsidP="007C2311">
            <w:pPr>
              <w:suppressAutoHyphens w:val="0"/>
              <w:spacing w:after="0"/>
              <w:jc w:val="center"/>
              <w:rPr>
                <w:rFonts w:cs="Arial"/>
                <w:sz w:val="24"/>
                <w:lang w:val="el-GR" w:eastAsia="el-GR"/>
              </w:rPr>
            </w:pPr>
          </w:p>
        </w:tc>
        <w:tc>
          <w:tcPr>
            <w:tcW w:w="989" w:type="pct"/>
          </w:tcPr>
          <w:p w:rsidR="00C74BD7" w:rsidRPr="00AF4673" w:rsidRDefault="00C74BD7" w:rsidP="007C2311">
            <w:pPr>
              <w:suppressAutoHyphens w:val="0"/>
              <w:spacing w:after="0"/>
              <w:jc w:val="center"/>
              <w:rPr>
                <w:rFonts w:cs="Arial"/>
                <w:sz w:val="24"/>
                <w:lang w:val="el-GR" w:eastAsia="el-GR"/>
              </w:rPr>
            </w:pPr>
          </w:p>
        </w:tc>
      </w:tr>
      <w:tr w:rsidR="00C74BD7" w:rsidRPr="00AF4673" w:rsidTr="007C2311">
        <w:trPr>
          <w:trHeight w:val="601"/>
        </w:trPr>
        <w:tc>
          <w:tcPr>
            <w:tcW w:w="310" w:type="pct"/>
            <w:shd w:val="clear" w:color="auto" w:fill="auto"/>
            <w:noWrap/>
            <w:vAlign w:val="center"/>
            <w:hideMark/>
          </w:tcPr>
          <w:p w:rsidR="00C74BD7" w:rsidRPr="00AF4673" w:rsidRDefault="00C74BD7" w:rsidP="007C2311">
            <w:pPr>
              <w:suppressAutoHyphens w:val="0"/>
              <w:spacing w:after="0"/>
              <w:jc w:val="center"/>
              <w:rPr>
                <w:rFonts w:cs="Arial"/>
                <w:b/>
                <w:bCs/>
                <w:sz w:val="24"/>
                <w:highlight w:val="yellow"/>
                <w:lang w:val="el-GR" w:eastAsia="el-GR"/>
              </w:rPr>
            </w:pPr>
            <w:r w:rsidRPr="00AF4673">
              <w:rPr>
                <w:rFonts w:cs="Arial"/>
                <w:b/>
                <w:bCs/>
                <w:sz w:val="24"/>
                <w:lang w:val="el-GR" w:eastAsia="el-GR"/>
              </w:rPr>
              <w:t>1.2</w:t>
            </w:r>
          </w:p>
        </w:tc>
        <w:tc>
          <w:tcPr>
            <w:tcW w:w="2406" w:type="pct"/>
            <w:shd w:val="clear" w:color="auto" w:fill="auto"/>
            <w:vAlign w:val="center"/>
            <w:hideMark/>
          </w:tcPr>
          <w:p w:rsidR="00C74BD7" w:rsidRPr="00AF4673" w:rsidRDefault="00C74BD7" w:rsidP="007C2311">
            <w:pPr>
              <w:suppressAutoHyphens w:val="0"/>
              <w:spacing w:after="0"/>
              <w:jc w:val="center"/>
              <w:rPr>
                <w:rFonts w:cs="Arial"/>
                <w:sz w:val="24"/>
                <w:highlight w:val="yellow"/>
                <w:lang w:val="el-GR" w:eastAsia="el-GR"/>
              </w:rPr>
            </w:pPr>
            <w:r w:rsidRPr="00AF4673">
              <w:rPr>
                <w:rFonts w:cs="Arial"/>
                <w:sz w:val="24"/>
                <w:lang w:val="el-GR" w:eastAsia="el-GR"/>
              </w:rPr>
              <w:t xml:space="preserve">Στείρο, μη </w:t>
            </w:r>
            <w:proofErr w:type="spellStart"/>
            <w:r w:rsidRPr="00AF4673">
              <w:rPr>
                <w:rFonts w:cs="Arial"/>
                <w:sz w:val="24"/>
                <w:lang w:val="el-GR" w:eastAsia="el-GR"/>
              </w:rPr>
              <w:t>ενζυμικό</w:t>
            </w:r>
            <w:proofErr w:type="spellEnd"/>
            <w:r w:rsidRPr="00AF4673">
              <w:rPr>
                <w:rFonts w:cs="Arial"/>
                <w:sz w:val="24"/>
                <w:lang w:val="el-GR" w:eastAsia="el-GR"/>
              </w:rPr>
              <w:t xml:space="preserve"> αντιδραστήριο για το διαχωρισμό και το πέρασμα των ανθρώπινων πολυδύναμων βλαστικών κυττάρων ως συσσωματώματα, χωρίς χειροκίνητη επιλογή ή ξύσιμο. Το πέρασμα σε μορφή συσσωματωμάτων διευκολύνει την επέκταση της καλλιέργειας, εύκολα και γρήγορα. Συσκευασία των 100 </w:t>
            </w:r>
            <w:proofErr w:type="spellStart"/>
            <w:r w:rsidRPr="00AF4673">
              <w:rPr>
                <w:rFonts w:cs="Arial"/>
                <w:sz w:val="24"/>
                <w:lang w:val="el-GR" w:eastAsia="el-GR"/>
              </w:rPr>
              <w:t>ml</w:t>
            </w:r>
            <w:proofErr w:type="spellEnd"/>
            <w:r w:rsidRPr="00AF4673">
              <w:rPr>
                <w:rFonts w:cs="Arial"/>
                <w:sz w:val="24"/>
                <w:lang w:val="el-GR" w:eastAsia="el-GR"/>
              </w:rPr>
              <w:t>.</w:t>
            </w:r>
          </w:p>
        </w:tc>
        <w:tc>
          <w:tcPr>
            <w:tcW w:w="647" w:type="pct"/>
          </w:tcPr>
          <w:p w:rsidR="00C74BD7" w:rsidRPr="00AF4673" w:rsidRDefault="00C74BD7" w:rsidP="007C2311">
            <w:pPr>
              <w:suppressAutoHyphens w:val="0"/>
              <w:spacing w:after="0"/>
              <w:jc w:val="center"/>
              <w:rPr>
                <w:rFonts w:cs="Arial"/>
                <w:sz w:val="24"/>
                <w:lang w:val="el-GR" w:eastAsia="el-GR"/>
              </w:rPr>
            </w:pPr>
          </w:p>
        </w:tc>
        <w:tc>
          <w:tcPr>
            <w:tcW w:w="647" w:type="pct"/>
          </w:tcPr>
          <w:p w:rsidR="00C74BD7" w:rsidRPr="00AF4673" w:rsidRDefault="00C74BD7" w:rsidP="007C2311">
            <w:pPr>
              <w:suppressAutoHyphens w:val="0"/>
              <w:spacing w:after="0"/>
              <w:jc w:val="center"/>
              <w:rPr>
                <w:rFonts w:cs="Arial"/>
                <w:sz w:val="24"/>
                <w:lang w:val="el-GR" w:eastAsia="el-GR"/>
              </w:rPr>
            </w:pPr>
          </w:p>
        </w:tc>
        <w:tc>
          <w:tcPr>
            <w:tcW w:w="989" w:type="pct"/>
          </w:tcPr>
          <w:p w:rsidR="00C74BD7" w:rsidRPr="00AF4673" w:rsidRDefault="00C74BD7" w:rsidP="007C2311">
            <w:pPr>
              <w:suppressAutoHyphens w:val="0"/>
              <w:spacing w:after="0"/>
              <w:jc w:val="center"/>
              <w:rPr>
                <w:rFonts w:cs="Arial"/>
                <w:sz w:val="24"/>
                <w:lang w:val="el-GR" w:eastAsia="el-GR"/>
              </w:rPr>
            </w:pPr>
          </w:p>
        </w:tc>
      </w:tr>
    </w:tbl>
    <w:p w:rsidR="00C74BD7" w:rsidRDefault="00C74BD7"/>
    <w:sectPr w:rsidR="00C74BD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D7" w:rsidRDefault="00C74BD7" w:rsidP="00C74BD7">
      <w:pPr>
        <w:spacing w:after="0"/>
      </w:pPr>
      <w:r>
        <w:separator/>
      </w:r>
    </w:p>
  </w:endnote>
  <w:endnote w:type="continuationSeparator" w:id="0">
    <w:p w:rsidR="00C74BD7" w:rsidRDefault="00C74BD7" w:rsidP="00C74B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D7" w:rsidRDefault="00C74BD7">
    <w:pPr>
      <w:pStyle w:val="Footer"/>
    </w:pPr>
  </w:p>
  <w:p w:rsidR="00C74BD7" w:rsidRDefault="00C74BD7">
    <w:pPr>
      <w:pStyle w:val="Footer"/>
    </w:pPr>
    <w:r w:rsidRPr="00C74BD7">
      <w:rPr>
        <w:lang w:val="el-GR"/>
      </w:rPr>
      <w:drawing>
        <wp:inline distT="0" distB="0" distL="0" distR="0">
          <wp:extent cx="51269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6990" cy="73152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D7" w:rsidRDefault="00C74BD7" w:rsidP="00C74BD7">
      <w:pPr>
        <w:spacing w:after="0"/>
      </w:pPr>
      <w:r>
        <w:separator/>
      </w:r>
    </w:p>
  </w:footnote>
  <w:footnote w:type="continuationSeparator" w:id="0">
    <w:p w:rsidR="00C74BD7" w:rsidRDefault="00C74BD7" w:rsidP="00C74B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D7"/>
    <w:rsid w:val="00C74BD7"/>
    <w:rsid w:val="00C83D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44965E9-7DBC-4327-85D2-7ECE8423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BD7"/>
    <w:pPr>
      <w:suppressAutoHyphens/>
      <w:spacing w:after="120" w:line="240" w:lineRule="auto"/>
      <w:jc w:val="both"/>
    </w:pPr>
    <w:rPr>
      <w:rFonts w:ascii="Calibri" w:eastAsia="Times New Roman" w:hAnsi="Calibri" w:cs="Calibri"/>
      <w:szCs w:val="24"/>
      <w:lang w:val="en-GB"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BD7"/>
    <w:pPr>
      <w:tabs>
        <w:tab w:val="center" w:pos="4153"/>
        <w:tab w:val="right" w:pos="8306"/>
      </w:tabs>
      <w:spacing w:after="0"/>
    </w:pPr>
  </w:style>
  <w:style w:type="character" w:customStyle="1" w:styleId="HeaderChar">
    <w:name w:val="Header Char"/>
    <w:basedOn w:val="DefaultParagraphFont"/>
    <w:link w:val="Header"/>
    <w:uiPriority w:val="99"/>
    <w:rsid w:val="00C74BD7"/>
    <w:rPr>
      <w:rFonts w:ascii="Calibri" w:eastAsia="Times New Roman" w:hAnsi="Calibri" w:cs="Calibri"/>
      <w:szCs w:val="24"/>
      <w:lang w:val="en-GB" w:eastAsia="ar-SA"/>
    </w:rPr>
  </w:style>
  <w:style w:type="paragraph" w:styleId="Footer">
    <w:name w:val="footer"/>
    <w:basedOn w:val="Normal"/>
    <w:link w:val="FooterChar"/>
    <w:uiPriority w:val="99"/>
    <w:unhideWhenUsed/>
    <w:rsid w:val="00C74BD7"/>
    <w:pPr>
      <w:tabs>
        <w:tab w:val="center" w:pos="4153"/>
        <w:tab w:val="right" w:pos="8306"/>
      </w:tabs>
      <w:spacing w:after="0"/>
    </w:pPr>
  </w:style>
  <w:style w:type="character" w:customStyle="1" w:styleId="FooterChar">
    <w:name w:val="Footer Char"/>
    <w:basedOn w:val="DefaultParagraphFont"/>
    <w:link w:val="Footer"/>
    <w:uiPriority w:val="99"/>
    <w:rsid w:val="00C74BD7"/>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1F974-011A-4F55-AE4A-6A5E28A89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864</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Βασιλική Παπαιωάννου</dc:creator>
  <cp:keywords/>
  <dc:description/>
  <cp:lastModifiedBy>Βασιλική Παπαιωάννου</cp:lastModifiedBy>
  <cp:revision>1</cp:revision>
  <dcterms:created xsi:type="dcterms:W3CDTF">2021-10-22T09:47:00Z</dcterms:created>
  <dcterms:modified xsi:type="dcterms:W3CDTF">2021-10-22T09:51:00Z</dcterms:modified>
</cp:coreProperties>
</file>