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602"/>
        <w:gridCol w:w="973"/>
        <w:gridCol w:w="973"/>
        <w:gridCol w:w="1496"/>
      </w:tblGrid>
      <w:tr w:rsidR="00024A79" w:rsidRPr="000166BD" w:rsidTr="00EE7412">
        <w:trPr>
          <w:trHeight w:val="315"/>
        </w:trPr>
        <w:tc>
          <w:tcPr>
            <w:tcW w:w="557" w:type="pct"/>
            <w:shd w:val="clear" w:color="auto" w:fill="auto"/>
            <w:noWrap/>
            <w:vAlign w:val="bottom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n-GB"/>
              </w:rPr>
            </w:pPr>
            <w:bookmarkStart w:id="0" w:name="_GoBack"/>
            <w:bookmarkEnd w:id="0"/>
          </w:p>
        </w:tc>
        <w:tc>
          <w:tcPr>
            <w:tcW w:w="2570" w:type="pct"/>
            <w:shd w:val="clear" w:color="auto" w:fill="auto"/>
            <w:noWrap/>
            <w:vAlign w:val="bottom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n-GB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n-GB"/>
              </w:rPr>
            </w:pPr>
          </w:p>
        </w:tc>
      </w:tr>
      <w:tr w:rsidR="00024A79" w:rsidRPr="000166BD" w:rsidTr="00EE7412">
        <w:trPr>
          <w:trHeight w:val="315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Α/Α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proofErr w:type="spellStart"/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Τεχνικά</w:t>
            </w:r>
            <w:proofErr w:type="spellEnd"/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 xml:space="preserve"> Χαρα</w:t>
            </w:r>
            <w:proofErr w:type="spellStart"/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κτηριστικά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ΝΑΙ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ΌΧΙ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ΠΑΡΑΠΟΜΠΗ</w:t>
            </w:r>
          </w:p>
        </w:tc>
      </w:tr>
      <w:tr w:rsidR="00024A79" w:rsidRPr="00A912F6" w:rsidTr="00EE7412">
        <w:trPr>
          <w:trHeight w:val="2655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24A79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/>
              </w:rPr>
              <w:t xml:space="preserve">Πλάκες   διεξαγωγής αντιδράσεων ποσοτικής PCR πραγματικού χρόνου με την τεχνολογία </w:t>
            </w:r>
            <w:proofErr w:type="spellStart"/>
            <w:r>
              <w:rPr>
                <w:color w:val="000000"/>
                <w:szCs w:val="22"/>
                <w:lang w:val="el-GR"/>
              </w:rPr>
              <w:t>Taqman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(</w:t>
            </w:r>
            <w:proofErr w:type="spellStart"/>
            <w:r>
              <w:rPr>
                <w:color w:val="000000"/>
                <w:szCs w:val="22"/>
                <w:lang w:val="el-GR"/>
              </w:rPr>
              <w:t>Taqman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array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fast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plates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) 96 θέσεων, προ-γεμισμένες και έτοιμες προς χρήση με την προσθήκη </w:t>
            </w:r>
            <w:proofErr w:type="spellStart"/>
            <w:r>
              <w:rPr>
                <w:color w:val="000000"/>
                <w:szCs w:val="22"/>
                <w:lang w:val="el-GR"/>
              </w:rPr>
              <w:t>mastermix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και DNA. Να προσφέρονται σε </w:t>
            </w:r>
            <w:proofErr w:type="spellStart"/>
            <w:r>
              <w:rPr>
                <w:color w:val="000000"/>
                <w:szCs w:val="22"/>
                <w:lang w:val="el-GR"/>
              </w:rPr>
              <w:t>φορμάτ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95 στόχων-γονιδίων για 1 δείγμα/πλάκα, με ένα γονίδιο ελέγχου (</w:t>
            </w:r>
            <w:proofErr w:type="spellStart"/>
            <w:r>
              <w:rPr>
                <w:color w:val="000000"/>
                <w:szCs w:val="22"/>
                <w:lang w:val="el-GR"/>
              </w:rPr>
              <w:t>control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), και όγκο αντίδρασης 10 </w:t>
            </w:r>
            <w:proofErr w:type="spellStart"/>
            <w:r>
              <w:rPr>
                <w:color w:val="000000"/>
                <w:szCs w:val="22"/>
                <w:lang w:val="el-GR"/>
              </w:rPr>
              <w:t>μl</w:t>
            </w:r>
            <w:proofErr w:type="spellEnd"/>
            <w:r>
              <w:rPr>
                <w:color w:val="000000"/>
                <w:szCs w:val="22"/>
                <w:lang w:val="el-GR"/>
              </w:rPr>
              <w:t>. Να υπάρχει δυνατότητα σχεδιασμού κατά παραγγελία (</w:t>
            </w:r>
            <w:proofErr w:type="spellStart"/>
            <w:r>
              <w:rPr>
                <w:color w:val="000000"/>
                <w:szCs w:val="22"/>
                <w:lang w:val="el-GR"/>
              </w:rPr>
              <w:t>custom</w:t>
            </w:r>
            <w:proofErr w:type="spellEnd"/>
            <w:r>
              <w:rPr>
                <w:color w:val="000000"/>
                <w:szCs w:val="22"/>
                <w:lang w:val="el-GR"/>
              </w:rPr>
              <w:t>) και επιλογής μεταξύ περισσότερων από 2.8 εκατομμύρια προσχεδιασμένων δοκιμασιών (</w:t>
            </w:r>
            <w:proofErr w:type="spellStart"/>
            <w:r>
              <w:rPr>
                <w:color w:val="000000"/>
                <w:szCs w:val="22"/>
                <w:lang w:val="el-GR"/>
              </w:rPr>
              <w:t>assays</w:t>
            </w:r>
            <w:proofErr w:type="spellEnd"/>
            <w:r>
              <w:rPr>
                <w:color w:val="000000"/>
                <w:szCs w:val="22"/>
                <w:lang w:val="el-GR"/>
              </w:rPr>
              <w:t>), που καλύπτουν περισσότερα από 32 είδη. Μεταξύ των 32 ειδών να υπάρχει δυνατότητα επιλογής δοκιμασίας για λαβράκι (</w:t>
            </w:r>
            <w:r>
              <w:rPr>
                <w:i/>
                <w:iCs/>
                <w:color w:val="000000"/>
                <w:szCs w:val="22"/>
                <w:lang w:val="el-GR"/>
              </w:rPr>
              <w:t xml:space="preserve">D. </w:t>
            </w:r>
            <w:proofErr w:type="spellStart"/>
            <w:r>
              <w:rPr>
                <w:i/>
                <w:iCs/>
                <w:color w:val="000000"/>
                <w:szCs w:val="22"/>
                <w:lang w:val="el-GR"/>
              </w:rPr>
              <w:t>Labrax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) ή  </w:t>
            </w:r>
            <w:proofErr w:type="spellStart"/>
            <w:r>
              <w:rPr>
                <w:color w:val="000000"/>
                <w:szCs w:val="22"/>
                <w:lang w:val="el-GR"/>
              </w:rPr>
              <w:t>zebrafish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(</w:t>
            </w:r>
            <w:r>
              <w:rPr>
                <w:i/>
                <w:iCs/>
                <w:color w:val="000000"/>
                <w:szCs w:val="22"/>
                <w:lang w:val="el-GR"/>
              </w:rPr>
              <w:t xml:space="preserve">D. </w:t>
            </w:r>
            <w:proofErr w:type="spellStart"/>
            <w:r>
              <w:rPr>
                <w:i/>
                <w:iCs/>
                <w:color w:val="000000"/>
                <w:szCs w:val="22"/>
                <w:lang w:val="el-GR"/>
              </w:rPr>
              <w:t>rerio</w:t>
            </w:r>
            <w:proofErr w:type="spellEnd"/>
            <w:r>
              <w:rPr>
                <w:color w:val="000000"/>
                <w:szCs w:val="22"/>
                <w:lang w:val="el-GR"/>
              </w:rPr>
              <w:t>).</w:t>
            </w:r>
          </w:p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024A79" w:rsidRPr="000166BD" w:rsidTr="00EE7412">
        <w:trPr>
          <w:trHeight w:val="3375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024A79" w:rsidRPr="005E04F4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proofErr w:type="spellStart"/>
            <w:r>
              <w:rPr>
                <w:color w:val="000000"/>
                <w:szCs w:val="22"/>
                <w:lang w:val="el-GR"/>
              </w:rPr>
              <w:t>Κιτ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ειδικά σχεδιασμένο, με έτοιμο προς χρήση μίγμα για την ενίσχυση και ταυτόχρονη ανίχνευση, με ποσοτική PCR πραγματικού χρόνου δείγματος, με την μέθοδο της Real-</w:t>
            </w:r>
            <w:proofErr w:type="spellStart"/>
            <w:r>
              <w:rPr>
                <w:color w:val="000000"/>
                <w:szCs w:val="22"/>
                <w:lang w:val="el-GR"/>
              </w:rPr>
              <w:t>Time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PCR και χρήση συνασμένων ανιχνευτών (</w:t>
            </w:r>
            <w:proofErr w:type="spellStart"/>
            <w:r>
              <w:rPr>
                <w:color w:val="000000"/>
                <w:szCs w:val="22"/>
                <w:lang w:val="el-GR"/>
              </w:rPr>
              <w:t>TaqMan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). Να περιέχει </w:t>
            </w:r>
            <w:proofErr w:type="spellStart"/>
            <w:r>
              <w:rPr>
                <w:color w:val="000000"/>
                <w:szCs w:val="22"/>
                <w:lang w:val="el-GR"/>
              </w:rPr>
              <w:t>AmpliTaq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Gold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DNA </w:t>
            </w:r>
            <w:proofErr w:type="spellStart"/>
            <w:r>
              <w:rPr>
                <w:color w:val="000000"/>
                <w:szCs w:val="22"/>
                <w:lang w:val="el-GR"/>
              </w:rPr>
              <w:t>Polymerase</w:t>
            </w:r>
            <w:proofErr w:type="spellEnd"/>
            <w:r>
              <w:rPr>
                <w:color w:val="000000"/>
                <w:szCs w:val="22"/>
                <w:lang w:val="el-GR"/>
              </w:rPr>
              <w:t>, UP (</w:t>
            </w:r>
            <w:proofErr w:type="spellStart"/>
            <w:r>
              <w:rPr>
                <w:color w:val="000000"/>
                <w:szCs w:val="22"/>
                <w:lang w:val="el-GR"/>
              </w:rPr>
              <w:t>Ultra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Pure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) για </w:t>
            </w:r>
            <w:proofErr w:type="spellStart"/>
            <w:r>
              <w:rPr>
                <w:color w:val="000000"/>
                <w:szCs w:val="22"/>
                <w:lang w:val="el-GR"/>
              </w:rPr>
              <w:t>hot-start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ενεργοποίηση και βελτιωμένη ανίχνευση </w:t>
            </w:r>
            <w:proofErr w:type="spellStart"/>
            <w:r>
              <w:rPr>
                <w:color w:val="000000"/>
                <w:szCs w:val="22"/>
                <w:lang w:val="el-GR"/>
              </w:rPr>
              <w:t>βακτηριακών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στόχων, μείγμα </w:t>
            </w:r>
            <w:proofErr w:type="spellStart"/>
            <w:r>
              <w:rPr>
                <w:color w:val="000000"/>
                <w:szCs w:val="22"/>
                <w:lang w:val="el-GR"/>
              </w:rPr>
              <w:t>dNTPs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με </w:t>
            </w:r>
            <w:proofErr w:type="spellStart"/>
            <w:r>
              <w:rPr>
                <w:color w:val="000000"/>
                <w:szCs w:val="22"/>
                <w:lang w:val="el-GR"/>
              </w:rPr>
              <w:t>dTTP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/ </w:t>
            </w:r>
            <w:proofErr w:type="spellStart"/>
            <w:r>
              <w:rPr>
                <w:color w:val="000000"/>
                <w:szCs w:val="22"/>
                <w:lang w:val="el-GR"/>
              </w:rPr>
              <w:t>dUTP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και </w:t>
            </w:r>
            <w:proofErr w:type="spellStart"/>
            <w:r>
              <w:rPr>
                <w:color w:val="000000"/>
                <w:szCs w:val="22"/>
                <w:lang w:val="el-GR"/>
              </w:rPr>
              <w:t>Uracil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-DNA </w:t>
            </w:r>
            <w:proofErr w:type="spellStart"/>
            <w:r>
              <w:rPr>
                <w:color w:val="000000"/>
                <w:szCs w:val="22"/>
                <w:lang w:val="el-GR"/>
              </w:rPr>
              <w:t>Glycosylase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(UDG) για την ελαχιστοποίηση επιμολύνσεων και παθητικό </w:t>
            </w:r>
            <w:proofErr w:type="spellStart"/>
            <w:r>
              <w:rPr>
                <w:color w:val="000000"/>
                <w:szCs w:val="22"/>
                <w:lang w:val="el-GR"/>
              </w:rPr>
              <w:t>φθοριόχρωμα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 αναφοράς ROX. Να είναι εγκεκριμένο για χρήση με  όργανα PCR πραγματικού χρόνου της </w:t>
            </w:r>
            <w:proofErr w:type="spellStart"/>
            <w:r>
              <w:rPr>
                <w:color w:val="000000"/>
                <w:szCs w:val="22"/>
                <w:lang w:val="el-GR"/>
              </w:rPr>
              <w:t>Applied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/>
              </w:rPr>
              <w:t>Biosystems.Σε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συσκευασία των 1´5 </w:t>
            </w:r>
            <w:proofErr w:type="spellStart"/>
            <w:r>
              <w:rPr>
                <w:color w:val="000000"/>
                <w:szCs w:val="22"/>
                <w:lang w:val="el-GR"/>
              </w:rPr>
              <w:t>mL</w:t>
            </w:r>
            <w:proofErr w:type="spellEnd"/>
            <w:r>
              <w:rPr>
                <w:color w:val="000000"/>
                <w:szCs w:val="22"/>
                <w:lang w:val="el-GR"/>
              </w:rPr>
              <w:t>.</w:t>
            </w:r>
          </w:p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024A79" w:rsidRPr="000166BD" w:rsidTr="00EE7412">
        <w:trPr>
          <w:trHeight w:val="1185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024A79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  <w:lang w:val="en-US"/>
              </w:rPr>
              <w:t>Nuclease-free distilled water (500 mL)</w:t>
            </w:r>
          </w:p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024A79" w:rsidRPr="00A912F6" w:rsidTr="00EE7412">
        <w:trPr>
          <w:trHeight w:val="844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0166BD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0166BD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024A79" w:rsidRPr="005E04F4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eastAsia="Calibri"/>
                <w:szCs w:val="22"/>
                <w:lang w:val="el-GR" w:eastAsia="en-US"/>
              </w:rPr>
              <w:t>Η</w:t>
            </w:r>
            <w:r w:rsidRPr="005E04F4">
              <w:rPr>
                <w:rFonts w:eastAsia="Calibri"/>
                <w:szCs w:val="22"/>
                <w:lang w:val="el-GR" w:eastAsia="en-US"/>
              </w:rPr>
              <w:t xml:space="preserve"> διάρκεια ζωής των προϊόντων πρέπει να μην είναι μικρότερη των 24 μηνών.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024A79" w:rsidRPr="00A912F6" w:rsidRDefault="00024A79" w:rsidP="00EE741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0166BD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</w:tbl>
    <w:p w:rsidR="00604779" w:rsidRPr="00024A79" w:rsidRDefault="00604779">
      <w:pPr>
        <w:rPr>
          <w:lang w:val="el-GR"/>
        </w:rPr>
      </w:pPr>
    </w:p>
    <w:sectPr w:rsidR="00604779" w:rsidRPr="00024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D5" w:rsidRDefault="00C33ED5" w:rsidP="00024A79">
      <w:pPr>
        <w:spacing w:after="0"/>
      </w:pPr>
      <w:r>
        <w:separator/>
      </w:r>
    </w:p>
  </w:endnote>
  <w:endnote w:type="continuationSeparator" w:id="0">
    <w:p w:rsidR="00C33ED5" w:rsidRDefault="00C33ED5" w:rsidP="00024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D5" w:rsidRDefault="00C33ED5" w:rsidP="00024A79">
      <w:pPr>
        <w:spacing w:after="0"/>
      </w:pPr>
      <w:r>
        <w:separator/>
      </w:r>
    </w:p>
  </w:footnote>
  <w:footnote w:type="continuationSeparator" w:id="0">
    <w:p w:rsidR="00C33ED5" w:rsidRDefault="00C33ED5" w:rsidP="00024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79" w:rsidRPr="00024A79" w:rsidRDefault="00024A79">
    <w:pPr>
      <w:pStyle w:val="Header"/>
      <w:rPr>
        <w:b/>
        <w:sz w:val="28"/>
        <w:szCs w:val="28"/>
        <w:lang w:val="el-GR"/>
      </w:rPr>
    </w:pPr>
    <w:r w:rsidRPr="00024A79">
      <w:rPr>
        <w:b/>
        <w:sz w:val="28"/>
        <w:szCs w:val="28"/>
        <w:lang w:val="el-GR"/>
      </w:rPr>
      <w:t>ΦΥΛΛΟ ΣΥΜΜΟΡΦΩΣΗΣ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79"/>
    <w:rsid w:val="00024A79"/>
    <w:rsid w:val="00604779"/>
    <w:rsid w:val="00B00FDE"/>
    <w:rsid w:val="00C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B794-D541-43C0-8319-622A265D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7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7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A79"/>
    <w:rPr>
      <w:rFonts w:ascii="Calibri" w:eastAsia="Times New Roman" w:hAnsi="Calibri" w:cs="Calibri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4A7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A79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Μαρία Αποστολάκη</cp:lastModifiedBy>
  <cp:revision>2</cp:revision>
  <dcterms:created xsi:type="dcterms:W3CDTF">2021-09-30T10:06:00Z</dcterms:created>
  <dcterms:modified xsi:type="dcterms:W3CDTF">2021-09-30T10:06:00Z</dcterms:modified>
</cp:coreProperties>
</file>