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8D" w:rsidRDefault="0087448D" w:rsidP="0087448D">
      <w:pPr>
        <w:pStyle w:val="normalwithoutspacing"/>
        <w:rPr>
          <w:rFonts w:asciiTheme="minorHAnsi" w:hAnsiTheme="minorHAnsi"/>
          <w:b/>
          <w:szCs w:val="22"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szCs w:val="22"/>
          <w:u w:val="single"/>
        </w:rPr>
        <w:t>ΠΑΡΑΡΤΗΜΑ ΙΙΙ</w:t>
      </w:r>
    </w:p>
    <w:p w:rsidR="0087448D" w:rsidRDefault="0087448D" w:rsidP="0087448D">
      <w:pPr>
        <w:pStyle w:val="normalwithoutspacing"/>
        <w:rPr>
          <w:rFonts w:asciiTheme="minorHAnsi" w:hAnsiTheme="minorHAnsi"/>
          <w:b/>
          <w:szCs w:val="22"/>
          <w:u w:val="single"/>
        </w:rPr>
      </w:pPr>
      <w:r w:rsidRPr="00C53907">
        <w:rPr>
          <w:rFonts w:asciiTheme="minorHAnsi" w:hAnsiTheme="minorHAnsi"/>
          <w:b/>
          <w:szCs w:val="22"/>
          <w:u w:val="single"/>
        </w:rPr>
        <w:t>ΦΥΛΛΟ ΣΥΜΜΟΡΦΩΣΗΣ</w:t>
      </w:r>
    </w:p>
    <w:p w:rsidR="0087448D" w:rsidRDefault="0087448D" w:rsidP="0087448D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487"/>
        <w:gridCol w:w="895"/>
        <w:gridCol w:w="1001"/>
        <w:gridCol w:w="2055"/>
      </w:tblGrid>
      <w:tr w:rsidR="0087448D" w:rsidRPr="00B40047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val="el-GR"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 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lang w:val="el-GR" w:eastAsia="en-GB"/>
              </w:rPr>
            </w:pPr>
            <w:r w:rsidRPr="006C63FE">
              <w:rPr>
                <w:rFonts w:cs="Times New Roman"/>
                <w:b/>
                <w:lang w:val="el-GR" w:eastAsia="en-GB"/>
              </w:rPr>
              <w:t>Ομάδα 1</w:t>
            </w:r>
            <w:r w:rsidRPr="006C63FE">
              <w:rPr>
                <w:rFonts w:cs="Times New Roman"/>
                <w:b/>
                <w:lang w:eastAsia="en-GB"/>
              </w:rPr>
              <w:t> </w:t>
            </w:r>
          </w:p>
        </w:tc>
        <w:tc>
          <w:tcPr>
            <w:tcW w:w="503" w:type="pct"/>
          </w:tcPr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lang w:val="el-GR" w:eastAsia="en-GB"/>
              </w:rPr>
            </w:pPr>
          </w:p>
        </w:tc>
      </w:tr>
      <w:tr w:rsidR="0087448D" w:rsidRPr="007B2B70" w:rsidTr="003A6119">
        <w:trPr>
          <w:trHeight w:val="600"/>
          <w:jc w:val="center"/>
        </w:trPr>
        <w:tc>
          <w:tcPr>
            <w:tcW w:w="293" w:type="pct"/>
            <w:shd w:val="clear" w:color="000000" w:fill="FCD5B4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  <w:r w:rsidRPr="00A31507">
              <w:rPr>
                <w:rFonts w:cs="Times New Roman"/>
                <w:b/>
                <w:bCs/>
                <w:color w:val="000000"/>
                <w:lang w:eastAsia="en-GB"/>
              </w:rPr>
              <w:t>A</w:t>
            </w:r>
            <w:r w:rsidRPr="00A31507">
              <w:rPr>
                <w:rFonts w:cs="Times New Roman"/>
                <w:b/>
                <w:bCs/>
                <w:color w:val="000000"/>
                <w:lang w:val="el-GR" w:eastAsia="en-GB"/>
              </w:rPr>
              <w:t>/</w:t>
            </w:r>
            <w:r w:rsidRPr="00A31507">
              <w:rPr>
                <w:rFonts w:cs="Times New Roman"/>
                <w:b/>
                <w:bCs/>
                <w:color w:val="000000"/>
                <w:lang w:eastAsia="en-GB"/>
              </w:rPr>
              <w:t>A</w:t>
            </w:r>
          </w:p>
        </w:tc>
        <w:tc>
          <w:tcPr>
            <w:tcW w:w="2495" w:type="pct"/>
            <w:shd w:val="clear" w:color="000000" w:fill="FCD5B4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 w:rsidRPr="00A31507">
              <w:rPr>
                <w:rFonts w:cs="Times New Roman"/>
                <w:b/>
                <w:bCs/>
                <w:lang w:val="el-GR" w:eastAsia="en-GB"/>
              </w:rPr>
              <w:t>Τεχνικά χαρακτηριστικά</w:t>
            </w:r>
          </w:p>
        </w:tc>
        <w:tc>
          <w:tcPr>
            <w:tcW w:w="503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</w:p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ΝΑΙ</w:t>
            </w:r>
          </w:p>
        </w:tc>
        <w:tc>
          <w:tcPr>
            <w:tcW w:w="562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</w:p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ΟΧΙ</w:t>
            </w:r>
          </w:p>
        </w:tc>
        <w:tc>
          <w:tcPr>
            <w:tcW w:w="1146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</w:p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ΠΑΡΑΠΟΜΠΗ</w:t>
            </w:r>
          </w:p>
        </w:tc>
      </w:tr>
      <w:tr w:rsidR="0087448D" w:rsidRPr="007B2B70" w:rsidTr="003A6119">
        <w:trPr>
          <w:trHeight w:val="2427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1</w:t>
            </w:r>
          </w:p>
        </w:tc>
        <w:tc>
          <w:tcPr>
            <w:tcW w:w="2495" w:type="pct"/>
            <w:shd w:val="clear" w:color="auto" w:fill="auto"/>
            <w:vAlign w:val="bottom"/>
            <w:hideMark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eastAsia="en-GB"/>
              </w:rPr>
            </w:pPr>
            <w:r w:rsidRPr="00A31507">
              <w:rPr>
                <w:rFonts w:cs="Times New Roman"/>
                <w:lang w:val="el-GR" w:eastAsia="en-GB"/>
              </w:rPr>
              <w:t>Φυγοκεντρικά σωληνάρια όγκου 15</w:t>
            </w:r>
            <w:r w:rsidRPr="00A31507">
              <w:rPr>
                <w:rFonts w:cs="Times New Roman"/>
                <w:lang w:eastAsia="en-GB"/>
              </w:rPr>
              <w:t>ml</w:t>
            </w:r>
            <w:r w:rsidRPr="00A31507">
              <w:rPr>
                <w:rFonts w:cs="Times New Roman"/>
                <w:lang w:val="el-GR" w:eastAsia="en-GB"/>
              </w:rPr>
              <w:t xml:space="preserve">, διαστάσεων 120 </w:t>
            </w:r>
            <w:r w:rsidRPr="00A31507">
              <w:rPr>
                <w:rFonts w:cs="Times New Roman"/>
                <w:lang w:eastAsia="en-GB"/>
              </w:rPr>
              <w:t>x</w:t>
            </w:r>
            <w:r w:rsidRPr="00A31507">
              <w:rPr>
                <w:rFonts w:cs="Times New Roman"/>
                <w:lang w:val="el-GR" w:eastAsia="en-GB"/>
              </w:rPr>
              <w:t xml:space="preserve"> 17 </w:t>
            </w:r>
            <w:r w:rsidRPr="00A31507">
              <w:rPr>
                <w:rFonts w:cs="Times New Roman"/>
                <w:lang w:eastAsia="en-GB"/>
              </w:rPr>
              <w:t>mm</w:t>
            </w:r>
            <w:r w:rsidRPr="00A31507">
              <w:rPr>
                <w:rFonts w:cs="Times New Roman"/>
                <w:lang w:val="el-GR" w:eastAsia="en-GB"/>
              </w:rPr>
              <w:t xml:space="preserve">, κατασκευασμένα από πολυπροπυλένιο, με κωνικό πυθμένα, βιδωτό καπάκι κατασκευασμένο από </w:t>
            </w:r>
            <w:r w:rsidRPr="00A31507">
              <w:rPr>
                <w:rFonts w:cs="Times New Roman"/>
                <w:lang w:eastAsia="en-GB"/>
              </w:rPr>
              <w:t>High</w:t>
            </w:r>
            <w:r w:rsidRPr="00A31507">
              <w:rPr>
                <w:rFonts w:cs="Times New Roman"/>
                <w:lang w:val="el-GR" w:eastAsia="en-GB"/>
              </w:rPr>
              <w:t xml:space="preserve"> </w:t>
            </w:r>
            <w:r w:rsidRPr="00A31507">
              <w:rPr>
                <w:rFonts w:cs="Times New Roman"/>
                <w:lang w:eastAsia="en-GB"/>
              </w:rPr>
              <w:t>Density</w:t>
            </w:r>
            <w:r w:rsidRPr="00A31507">
              <w:rPr>
                <w:rFonts w:cs="Times New Roman"/>
                <w:lang w:val="el-GR" w:eastAsia="en-GB"/>
              </w:rPr>
              <w:t xml:space="preserve"> </w:t>
            </w:r>
            <w:r w:rsidRPr="00A31507">
              <w:rPr>
                <w:rFonts w:cs="Times New Roman"/>
                <w:lang w:eastAsia="en-GB"/>
              </w:rPr>
              <w:t>Polyethylene</w:t>
            </w:r>
            <w:r w:rsidRPr="00A31507">
              <w:rPr>
                <w:rFonts w:cs="Times New Roman"/>
                <w:lang w:val="el-GR" w:eastAsia="en-GB"/>
              </w:rPr>
              <w:t xml:space="preserve">, διαγραμμίσεις των όγκων &amp; επιφάνεια αναγραφής στοιχείων. Να αντέχουν σε ταχύτητα </w:t>
            </w:r>
            <w:proofErr w:type="spellStart"/>
            <w:r w:rsidRPr="00A31507">
              <w:rPr>
                <w:rFonts w:cs="Times New Roman"/>
                <w:lang w:val="el-GR" w:eastAsia="en-GB"/>
              </w:rPr>
              <w:t>φυγοκέντρησης</w:t>
            </w:r>
            <w:proofErr w:type="spellEnd"/>
            <w:r w:rsidRPr="00A31507">
              <w:rPr>
                <w:rFonts w:cs="Times New Roman"/>
                <w:lang w:val="el-GR" w:eastAsia="en-GB"/>
              </w:rPr>
              <w:t xml:space="preserve"> έως 15500 </w:t>
            </w:r>
            <w:r w:rsidRPr="00A31507">
              <w:rPr>
                <w:rFonts w:cs="Times New Roman"/>
                <w:lang w:eastAsia="en-GB"/>
              </w:rPr>
              <w:t>x</w:t>
            </w:r>
            <w:r w:rsidRPr="00A31507">
              <w:rPr>
                <w:rFonts w:cs="Times New Roman"/>
                <w:lang w:val="el-GR" w:eastAsia="en-GB"/>
              </w:rPr>
              <w:t xml:space="preserve"> </w:t>
            </w:r>
            <w:r w:rsidRPr="00A31507">
              <w:rPr>
                <w:rFonts w:cs="Times New Roman"/>
                <w:lang w:eastAsia="en-GB"/>
              </w:rPr>
              <w:t>g</w:t>
            </w:r>
            <w:r w:rsidRPr="00A31507">
              <w:rPr>
                <w:rFonts w:cs="Times New Roman"/>
                <w:lang w:val="el-GR" w:eastAsia="en-GB"/>
              </w:rPr>
              <w:t xml:space="preserve">. Αποστειρωμένα &amp; συσκευασμένα ανά 50 τεμάχια, 500/πακέτο. </w:t>
            </w:r>
            <w:r w:rsidRPr="00A31507">
              <w:rPr>
                <w:rFonts w:cs="Times New Roman"/>
                <w:lang w:eastAsia="en-GB"/>
              </w:rPr>
              <w:t>Non-pyrogenic/endotoxin-free. IVD/CE Certified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val="el-GR" w:eastAsia="en-GB"/>
              </w:rPr>
            </w:pPr>
          </w:p>
        </w:tc>
      </w:tr>
      <w:tr w:rsidR="0087448D" w:rsidRPr="007B2B70" w:rsidTr="003A6119">
        <w:trPr>
          <w:trHeight w:val="12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2</w:t>
            </w:r>
          </w:p>
        </w:tc>
        <w:tc>
          <w:tcPr>
            <w:tcW w:w="2495" w:type="pct"/>
            <w:shd w:val="clear" w:color="auto" w:fill="auto"/>
            <w:vAlign w:val="bottom"/>
            <w:hideMark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eastAsia="en-GB"/>
              </w:rPr>
            </w:pPr>
            <w:r w:rsidRPr="00A31507">
              <w:rPr>
                <w:rFonts w:cs="Times New Roman"/>
                <w:lang w:val="el-GR" w:eastAsia="en-GB"/>
              </w:rPr>
              <w:t>Φυγοκεντρικά σωληνάρια όγκου 50</w:t>
            </w:r>
            <w:r w:rsidRPr="00A31507">
              <w:rPr>
                <w:rFonts w:cs="Times New Roman"/>
                <w:lang w:eastAsia="en-GB"/>
              </w:rPr>
              <w:t>ml</w:t>
            </w:r>
            <w:r w:rsidRPr="00A31507">
              <w:rPr>
                <w:rFonts w:cs="Times New Roman"/>
                <w:lang w:val="el-GR" w:eastAsia="en-GB"/>
              </w:rPr>
              <w:t xml:space="preserve">, διαστάσεων 114 </w:t>
            </w:r>
            <w:r w:rsidRPr="00A31507">
              <w:rPr>
                <w:rFonts w:cs="Times New Roman"/>
                <w:lang w:eastAsia="en-GB"/>
              </w:rPr>
              <w:t>x</w:t>
            </w:r>
            <w:r w:rsidRPr="00A31507">
              <w:rPr>
                <w:rFonts w:cs="Times New Roman"/>
                <w:lang w:val="el-GR" w:eastAsia="en-GB"/>
              </w:rPr>
              <w:t xml:space="preserve"> 28 </w:t>
            </w:r>
            <w:r w:rsidRPr="00A31507">
              <w:rPr>
                <w:rFonts w:cs="Times New Roman"/>
                <w:lang w:eastAsia="en-GB"/>
              </w:rPr>
              <w:t>mm</w:t>
            </w:r>
            <w:r w:rsidRPr="00A31507">
              <w:rPr>
                <w:rFonts w:cs="Times New Roman"/>
                <w:lang w:val="el-GR" w:eastAsia="en-GB"/>
              </w:rPr>
              <w:t xml:space="preserve">, κατασκευασμένα από πολυπροπυλένιο, με κωνικό πυθμένα, βιδωτό καπάκι κατασκευασμένο από </w:t>
            </w:r>
            <w:r w:rsidRPr="00A31507">
              <w:rPr>
                <w:rFonts w:cs="Times New Roman"/>
                <w:lang w:eastAsia="en-GB"/>
              </w:rPr>
              <w:t>High</w:t>
            </w:r>
            <w:r w:rsidRPr="00A31507">
              <w:rPr>
                <w:rFonts w:cs="Times New Roman"/>
                <w:lang w:val="el-GR" w:eastAsia="en-GB"/>
              </w:rPr>
              <w:t xml:space="preserve"> </w:t>
            </w:r>
            <w:r w:rsidRPr="00A31507">
              <w:rPr>
                <w:rFonts w:cs="Times New Roman"/>
                <w:lang w:eastAsia="en-GB"/>
              </w:rPr>
              <w:t>Density</w:t>
            </w:r>
            <w:r w:rsidRPr="00A31507">
              <w:rPr>
                <w:rFonts w:cs="Times New Roman"/>
                <w:lang w:val="el-GR" w:eastAsia="en-GB"/>
              </w:rPr>
              <w:t xml:space="preserve"> </w:t>
            </w:r>
            <w:r w:rsidRPr="00A31507">
              <w:rPr>
                <w:rFonts w:cs="Times New Roman"/>
                <w:lang w:eastAsia="en-GB"/>
              </w:rPr>
              <w:t>Polyethylene</w:t>
            </w:r>
            <w:r w:rsidRPr="00A31507">
              <w:rPr>
                <w:rFonts w:cs="Times New Roman"/>
                <w:lang w:val="el-GR" w:eastAsia="en-GB"/>
              </w:rPr>
              <w:t xml:space="preserve">, διαγραμμίσεις των όγκων &amp; επιφάνεια αναγραφής στοιχείων. Να αντέχουν σε ταχύτητα </w:t>
            </w:r>
            <w:proofErr w:type="spellStart"/>
            <w:r w:rsidRPr="00A31507">
              <w:rPr>
                <w:rFonts w:cs="Times New Roman"/>
                <w:lang w:val="el-GR" w:eastAsia="en-GB"/>
              </w:rPr>
              <w:t>φυγοκέντρησης</w:t>
            </w:r>
            <w:proofErr w:type="spellEnd"/>
            <w:r w:rsidRPr="00A31507">
              <w:rPr>
                <w:rFonts w:cs="Times New Roman"/>
                <w:lang w:val="el-GR" w:eastAsia="en-GB"/>
              </w:rPr>
              <w:t xml:space="preserve"> έως 15500 </w:t>
            </w:r>
            <w:r w:rsidRPr="00A31507">
              <w:rPr>
                <w:rFonts w:cs="Times New Roman"/>
                <w:lang w:eastAsia="en-GB"/>
              </w:rPr>
              <w:t>x</w:t>
            </w:r>
            <w:r w:rsidRPr="00A31507">
              <w:rPr>
                <w:rFonts w:cs="Times New Roman"/>
                <w:lang w:val="el-GR" w:eastAsia="en-GB"/>
              </w:rPr>
              <w:t xml:space="preserve"> </w:t>
            </w:r>
            <w:r w:rsidRPr="00A31507">
              <w:rPr>
                <w:rFonts w:cs="Times New Roman"/>
                <w:lang w:eastAsia="en-GB"/>
              </w:rPr>
              <w:t>g</w:t>
            </w:r>
            <w:r w:rsidRPr="00A31507">
              <w:rPr>
                <w:rFonts w:cs="Times New Roman"/>
                <w:lang w:val="el-GR" w:eastAsia="en-GB"/>
              </w:rPr>
              <w:t xml:space="preserve">. Αποστειρωμένα &amp; συσκευασμένα ανά 25 τεμάχια, 300/πακέτο. </w:t>
            </w:r>
            <w:r w:rsidRPr="00A31507">
              <w:rPr>
                <w:rFonts w:cs="Times New Roman"/>
                <w:lang w:eastAsia="en-GB"/>
              </w:rPr>
              <w:t>Non-pyrogenic/endotoxin-free. IVD/CE Certified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val="el-GR" w:eastAsia="en-GB"/>
              </w:rPr>
            </w:pPr>
          </w:p>
        </w:tc>
      </w:tr>
      <w:tr w:rsidR="0087448D" w:rsidRPr="007B2B70" w:rsidTr="003A6119">
        <w:trPr>
          <w:trHeight w:val="24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3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eastAsia="en-GB"/>
              </w:rPr>
            </w:pPr>
            <w:proofErr w:type="spellStart"/>
            <w:r w:rsidRPr="00A31507">
              <w:rPr>
                <w:rFonts w:cs="Times New Roman"/>
                <w:lang w:eastAsia="en-GB"/>
              </w:rPr>
              <w:t>Φίλτρ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 </w:t>
            </w:r>
            <w:proofErr w:type="spellStart"/>
            <w:r w:rsidRPr="00A31507">
              <w:rPr>
                <w:rFonts w:cs="Times New Roman"/>
                <w:lang w:eastAsia="en-GB"/>
              </w:rPr>
              <w:t>μεμ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βράνης </w:t>
            </w:r>
            <w:proofErr w:type="spellStart"/>
            <w:r w:rsidRPr="00A31507">
              <w:rPr>
                <w:rFonts w:cs="Times New Roman"/>
                <w:lang w:eastAsia="en-GB"/>
              </w:rPr>
              <w:t>διήθησης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υδρόφιλ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 </w:t>
            </w:r>
            <w:proofErr w:type="spellStart"/>
            <w:r w:rsidRPr="00A31507">
              <w:rPr>
                <w:rFonts w:cs="Times New Roman"/>
                <w:lang w:eastAsia="en-GB"/>
              </w:rPr>
              <w:t>τύ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που PVDF </w:t>
            </w:r>
            <w:proofErr w:type="spellStart"/>
            <w:r w:rsidRPr="00A31507">
              <w:rPr>
                <w:rFonts w:cs="Times New Roman"/>
                <w:lang w:eastAsia="en-GB"/>
              </w:rPr>
              <w:t>με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μέγεθος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π</w:t>
            </w:r>
            <w:proofErr w:type="spellStart"/>
            <w:r w:rsidRPr="00A31507">
              <w:rPr>
                <w:rFonts w:cs="Times New Roman"/>
                <w:lang w:eastAsia="en-GB"/>
              </w:rPr>
              <w:t>όρου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0.22μm και </w:t>
            </w:r>
            <w:proofErr w:type="spellStart"/>
            <w:r w:rsidRPr="00A31507">
              <w:rPr>
                <w:rFonts w:cs="Times New Roman"/>
                <w:lang w:eastAsia="en-GB"/>
              </w:rPr>
              <w:t>διάμετρο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142mm, </w:t>
            </w:r>
            <w:proofErr w:type="spellStart"/>
            <w:r w:rsidRPr="00A31507">
              <w:rPr>
                <w:rFonts w:cs="Times New Roman"/>
                <w:lang w:eastAsia="en-GB"/>
              </w:rPr>
              <w:t>με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τα παρα</w:t>
            </w:r>
            <w:proofErr w:type="spellStart"/>
            <w:r w:rsidRPr="00A31507">
              <w:rPr>
                <w:rFonts w:cs="Times New Roman"/>
                <w:lang w:eastAsia="en-GB"/>
              </w:rPr>
              <w:t>κάτω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τεχνικά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χαρα</w:t>
            </w:r>
            <w:proofErr w:type="spellStart"/>
            <w:r w:rsidRPr="00A31507">
              <w:rPr>
                <w:rFonts w:cs="Times New Roman"/>
                <w:lang w:eastAsia="en-GB"/>
              </w:rPr>
              <w:t>κτηριστικά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:  </w:t>
            </w:r>
            <w:r w:rsidRPr="00A31507">
              <w:rPr>
                <w:rFonts w:cs="Times New Roman"/>
                <w:lang w:eastAsia="en-GB"/>
              </w:rPr>
              <w:br/>
              <w:t xml:space="preserve">Air Flow Rate 2 L/min x cm² </w:t>
            </w:r>
            <w:r w:rsidRPr="00A31507">
              <w:rPr>
                <w:rFonts w:cs="Times New Roman"/>
                <w:lang w:eastAsia="en-GB"/>
              </w:rPr>
              <w:br/>
              <w:t xml:space="preserve">Bubble Point at 23 °C ≥3.45 bar, air with water </w:t>
            </w:r>
            <w:r w:rsidRPr="00A31507">
              <w:rPr>
                <w:rFonts w:cs="Times New Roman"/>
                <w:lang w:eastAsia="en-GB"/>
              </w:rPr>
              <w:br/>
              <w:t xml:space="preserve">Gravimetric </w:t>
            </w:r>
            <w:proofErr w:type="spellStart"/>
            <w:r w:rsidRPr="00A31507">
              <w:rPr>
                <w:rFonts w:cs="Times New Roman"/>
                <w:lang w:eastAsia="en-GB"/>
              </w:rPr>
              <w:t>Extractables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0.5% </w:t>
            </w:r>
            <w:r w:rsidRPr="00A31507">
              <w:rPr>
                <w:rFonts w:cs="Times New Roman"/>
                <w:lang w:eastAsia="en-GB"/>
              </w:rPr>
              <w:br/>
              <w:t xml:space="preserve">Porosity %: 70% </w:t>
            </w:r>
            <w:r w:rsidRPr="00A31507">
              <w:rPr>
                <w:rFonts w:cs="Times New Roman"/>
                <w:lang w:eastAsia="en-GB"/>
              </w:rPr>
              <w:br/>
              <w:t xml:space="preserve">Water Flow Rate &gt;1 mL/min x cm² </w:t>
            </w:r>
            <w:r w:rsidRPr="00A31507">
              <w:rPr>
                <w:rFonts w:cs="Times New Roman"/>
                <w:lang w:eastAsia="en-GB"/>
              </w:rPr>
              <w:br/>
              <w:t xml:space="preserve">Thickness 125 µm  </w:t>
            </w:r>
            <w:proofErr w:type="spellStart"/>
            <w:r w:rsidRPr="00A31507">
              <w:rPr>
                <w:rFonts w:cs="Times New Roman"/>
                <w:lang w:eastAsia="en-GB"/>
              </w:rPr>
              <w:t>Μέγιστη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Θερμοκρ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ασία </w:t>
            </w:r>
            <w:proofErr w:type="spellStart"/>
            <w:r w:rsidRPr="00A31507">
              <w:rPr>
                <w:rFonts w:cs="Times New Roman"/>
                <w:lang w:eastAsia="en-GB"/>
              </w:rPr>
              <w:t>Λειτουργί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ας : 85 C. 50 </w:t>
            </w:r>
            <w:proofErr w:type="spellStart"/>
            <w:r w:rsidRPr="00A31507">
              <w:rPr>
                <w:rFonts w:cs="Times New Roman"/>
                <w:lang w:eastAsia="en-GB"/>
              </w:rPr>
              <w:t>τεμάχι</w:t>
            </w:r>
            <w:proofErr w:type="spellEnd"/>
            <w:r w:rsidRPr="00A31507">
              <w:rPr>
                <w:rFonts w:cs="Times New Roman"/>
                <w:lang w:eastAsia="en-GB"/>
              </w:rPr>
              <w:t>α/συσκευασία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eastAsia="en-GB"/>
              </w:rPr>
            </w:pPr>
          </w:p>
        </w:tc>
      </w:tr>
      <w:tr w:rsidR="0087448D" w:rsidRPr="007B2B70" w:rsidTr="003A6119">
        <w:trPr>
          <w:trHeight w:val="24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4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eastAsia="en-GB"/>
              </w:rPr>
            </w:pPr>
            <w:proofErr w:type="spellStart"/>
            <w:r w:rsidRPr="00A31507">
              <w:rPr>
                <w:rFonts w:cs="Times New Roman"/>
                <w:lang w:eastAsia="en-GB"/>
              </w:rPr>
              <w:t>Φίλτρ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 </w:t>
            </w:r>
            <w:proofErr w:type="spellStart"/>
            <w:r w:rsidRPr="00A31507">
              <w:rPr>
                <w:rFonts w:cs="Times New Roman"/>
                <w:lang w:eastAsia="en-GB"/>
              </w:rPr>
              <w:t>μεμ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βράνης </w:t>
            </w:r>
            <w:proofErr w:type="spellStart"/>
            <w:r w:rsidRPr="00A31507">
              <w:rPr>
                <w:rFonts w:cs="Times New Roman"/>
                <w:lang w:eastAsia="en-GB"/>
              </w:rPr>
              <w:t>διήθησης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υδρόφιλ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 </w:t>
            </w:r>
            <w:proofErr w:type="spellStart"/>
            <w:r w:rsidRPr="00A31507">
              <w:rPr>
                <w:rFonts w:cs="Times New Roman"/>
                <w:lang w:eastAsia="en-GB"/>
              </w:rPr>
              <w:t>τύ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που PVDF </w:t>
            </w:r>
            <w:proofErr w:type="spellStart"/>
            <w:r w:rsidRPr="00A31507">
              <w:rPr>
                <w:rFonts w:cs="Times New Roman"/>
                <w:lang w:eastAsia="en-GB"/>
              </w:rPr>
              <w:t>με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μέγεθος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π</w:t>
            </w:r>
            <w:proofErr w:type="spellStart"/>
            <w:r w:rsidRPr="00A31507">
              <w:rPr>
                <w:rFonts w:cs="Times New Roman"/>
                <w:lang w:eastAsia="en-GB"/>
              </w:rPr>
              <w:t>όρου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0.45μm και </w:t>
            </w:r>
            <w:proofErr w:type="spellStart"/>
            <w:r w:rsidRPr="00A31507">
              <w:rPr>
                <w:rFonts w:cs="Times New Roman"/>
                <w:lang w:eastAsia="en-GB"/>
              </w:rPr>
              <w:t>διάμετρο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142mm, </w:t>
            </w:r>
            <w:proofErr w:type="spellStart"/>
            <w:r w:rsidRPr="00A31507">
              <w:rPr>
                <w:rFonts w:cs="Times New Roman"/>
                <w:lang w:eastAsia="en-GB"/>
              </w:rPr>
              <w:t>με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τα παρα</w:t>
            </w:r>
            <w:proofErr w:type="spellStart"/>
            <w:r w:rsidRPr="00A31507">
              <w:rPr>
                <w:rFonts w:cs="Times New Roman"/>
                <w:lang w:eastAsia="en-GB"/>
              </w:rPr>
              <w:t>κάτω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τεχνικά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χαρα</w:t>
            </w:r>
            <w:proofErr w:type="spellStart"/>
            <w:r w:rsidRPr="00A31507">
              <w:rPr>
                <w:rFonts w:cs="Times New Roman"/>
                <w:lang w:eastAsia="en-GB"/>
              </w:rPr>
              <w:t>κτηριστικά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:  </w:t>
            </w:r>
            <w:r w:rsidRPr="00A31507">
              <w:rPr>
                <w:rFonts w:cs="Times New Roman"/>
                <w:lang w:eastAsia="en-GB"/>
              </w:rPr>
              <w:br/>
              <w:t xml:space="preserve">Air Flow Rate 2 L/min x cm² </w:t>
            </w:r>
            <w:r w:rsidRPr="00A31507">
              <w:rPr>
                <w:rFonts w:cs="Times New Roman"/>
                <w:lang w:eastAsia="en-GB"/>
              </w:rPr>
              <w:br/>
              <w:t xml:space="preserve">Bubble Point at 23 °C ≥3.45 bar, air with water </w:t>
            </w:r>
            <w:r w:rsidRPr="00A31507">
              <w:rPr>
                <w:rFonts w:cs="Times New Roman"/>
                <w:lang w:eastAsia="en-GB"/>
              </w:rPr>
              <w:br/>
              <w:t xml:space="preserve">Gravimetric </w:t>
            </w:r>
            <w:proofErr w:type="spellStart"/>
            <w:r w:rsidRPr="00A31507">
              <w:rPr>
                <w:rFonts w:cs="Times New Roman"/>
                <w:lang w:eastAsia="en-GB"/>
              </w:rPr>
              <w:t>Extractables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0.5% </w:t>
            </w:r>
            <w:r w:rsidRPr="00A31507">
              <w:rPr>
                <w:rFonts w:cs="Times New Roman"/>
                <w:lang w:eastAsia="en-GB"/>
              </w:rPr>
              <w:br/>
              <w:t xml:space="preserve">Porosity %: 70% </w:t>
            </w:r>
            <w:r w:rsidRPr="00A31507">
              <w:rPr>
                <w:rFonts w:cs="Times New Roman"/>
                <w:lang w:eastAsia="en-GB"/>
              </w:rPr>
              <w:br/>
              <w:t xml:space="preserve">Water Flow Rate &gt;1 mL/min x cm² </w:t>
            </w:r>
            <w:r w:rsidRPr="00A31507">
              <w:rPr>
                <w:rFonts w:cs="Times New Roman"/>
                <w:lang w:eastAsia="en-GB"/>
              </w:rPr>
              <w:br/>
              <w:t xml:space="preserve">Thickness 125 µm  </w:t>
            </w:r>
            <w:proofErr w:type="spellStart"/>
            <w:r w:rsidRPr="00A31507">
              <w:rPr>
                <w:rFonts w:cs="Times New Roman"/>
                <w:lang w:eastAsia="en-GB"/>
              </w:rPr>
              <w:t>Μέγιστη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Θερμοκρ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ασία </w:t>
            </w:r>
            <w:proofErr w:type="spellStart"/>
            <w:r w:rsidRPr="00A31507">
              <w:rPr>
                <w:rFonts w:cs="Times New Roman"/>
                <w:lang w:eastAsia="en-GB"/>
              </w:rPr>
              <w:t>Λειτουργί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ας : 85 C. 50 </w:t>
            </w:r>
            <w:proofErr w:type="spellStart"/>
            <w:r w:rsidRPr="00A31507">
              <w:rPr>
                <w:rFonts w:cs="Times New Roman"/>
                <w:lang w:eastAsia="en-GB"/>
              </w:rPr>
              <w:t>τεμάχι</w:t>
            </w:r>
            <w:proofErr w:type="spellEnd"/>
            <w:r w:rsidRPr="00A31507">
              <w:rPr>
                <w:rFonts w:cs="Times New Roman"/>
                <w:lang w:eastAsia="en-GB"/>
              </w:rPr>
              <w:t>α/συσκευασία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eastAsia="en-GB"/>
              </w:rPr>
            </w:pPr>
          </w:p>
        </w:tc>
      </w:tr>
      <w:tr w:rsidR="0087448D" w:rsidRPr="007B2B70" w:rsidTr="003A6119">
        <w:trPr>
          <w:trHeight w:val="568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5</w:t>
            </w:r>
          </w:p>
        </w:tc>
        <w:tc>
          <w:tcPr>
            <w:tcW w:w="2495" w:type="pct"/>
            <w:shd w:val="clear" w:color="auto" w:fill="auto"/>
            <w:vAlign w:val="bottom"/>
            <w:hideMark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eastAsia="en-GB"/>
              </w:rPr>
            </w:pPr>
            <w:r w:rsidRPr="00A31507">
              <w:rPr>
                <w:rFonts w:cs="Times New Roman"/>
                <w:lang w:val="el-GR" w:eastAsia="en-GB"/>
              </w:rPr>
              <w:t xml:space="preserve">Υδρόφιλα φίλτρα από ίνες υάλου, με συνδετική ρητίνη, διαμέτρου 142 </w:t>
            </w:r>
            <w:r w:rsidRPr="00A31507">
              <w:rPr>
                <w:rFonts w:cs="Times New Roman"/>
                <w:lang w:eastAsia="en-GB"/>
              </w:rPr>
              <w:t>mm</w:t>
            </w:r>
            <w:r w:rsidRPr="00A31507">
              <w:rPr>
                <w:rFonts w:cs="Times New Roman"/>
                <w:lang w:val="el-GR" w:eastAsia="en-GB"/>
              </w:rPr>
              <w:t xml:space="preserve"> &amp; πόρων </w:t>
            </w:r>
            <w:r w:rsidRPr="00A31507">
              <w:rPr>
                <w:rFonts w:cs="Times New Roman"/>
                <w:lang w:val="el-GR" w:eastAsia="en-GB"/>
              </w:rPr>
              <w:lastRenderedPageBreak/>
              <w:t>1μ</w:t>
            </w:r>
            <w:r w:rsidRPr="00A31507">
              <w:rPr>
                <w:rFonts w:cs="Times New Roman"/>
                <w:lang w:eastAsia="en-GB"/>
              </w:rPr>
              <w:t>m</w:t>
            </w:r>
            <w:r w:rsidRPr="00A31507">
              <w:rPr>
                <w:rFonts w:cs="Times New Roman"/>
                <w:lang w:val="el-GR" w:eastAsia="en-GB"/>
              </w:rPr>
              <w:t xml:space="preserve">, με τα παρακάτω τεχνικά χαρακτηριστικά:  </w:t>
            </w:r>
            <w:proofErr w:type="spellStart"/>
            <w:r w:rsidRPr="00A31507">
              <w:rPr>
                <w:rFonts w:cs="Times New Roman"/>
                <w:lang w:val="el-GR" w:eastAsia="en-GB"/>
              </w:rPr>
              <w:t>Αποστειρώσιμα</w:t>
            </w:r>
            <w:proofErr w:type="spellEnd"/>
            <w:r w:rsidRPr="00A31507">
              <w:rPr>
                <w:rFonts w:cs="Times New Roman"/>
                <w:lang w:val="el-GR" w:eastAsia="en-GB"/>
              </w:rPr>
              <w:t xml:space="preserve"> με </w:t>
            </w:r>
            <w:r w:rsidRPr="00A31507">
              <w:rPr>
                <w:rFonts w:cs="Times New Roman"/>
                <w:lang w:eastAsia="en-GB"/>
              </w:rPr>
              <w:t>EO</w:t>
            </w:r>
            <w:r w:rsidRPr="00A31507">
              <w:rPr>
                <w:rFonts w:cs="Times New Roman"/>
                <w:lang w:val="el-GR" w:eastAsia="en-GB"/>
              </w:rPr>
              <w:t xml:space="preserve">, γ' ακτινοβολία &amp; σε </w:t>
            </w:r>
            <w:proofErr w:type="spellStart"/>
            <w:r w:rsidRPr="00A31507">
              <w:rPr>
                <w:rFonts w:cs="Times New Roman"/>
                <w:lang w:val="el-GR" w:eastAsia="en-GB"/>
              </w:rPr>
              <w:t>αυτόκαυστο</w:t>
            </w:r>
            <w:proofErr w:type="spellEnd"/>
            <w:r w:rsidRPr="00A31507">
              <w:rPr>
                <w:rFonts w:cs="Times New Roman"/>
                <w:lang w:val="el-GR" w:eastAsia="en-GB"/>
              </w:rPr>
              <w:t xml:space="preserve">. </w:t>
            </w:r>
            <w:r w:rsidRPr="00A31507">
              <w:rPr>
                <w:rFonts w:cs="Times New Roman"/>
                <w:lang w:eastAsia="en-GB"/>
              </w:rPr>
              <w:t xml:space="preserve">Porosity % 90% </w:t>
            </w:r>
            <w:r w:rsidRPr="00A31507">
              <w:rPr>
                <w:rFonts w:cs="Times New Roman"/>
                <w:lang w:eastAsia="en-GB"/>
              </w:rPr>
              <w:br/>
              <w:t>Water Flow Rate 1.6 mL/min x cm²</w:t>
            </w:r>
            <w:r w:rsidRPr="00A31507">
              <w:rPr>
                <w:rFonts w:cs="Times New Roman"/>
                <w:lang w:eastAsia="en-GB"/>
              </w:rPr>
              <w:br/>
              <w:t xml:space="preserve">Thickness 790 µm. 50 </w:t>
            </w:r>
            <w:proofErr w:type="spellStart"/>
            <w:r w:rsidRPr="00A31507">
              <w:rPr>
                <w:rFonts w:cs="Times New Roman"/>
                <w:lang w:eastAsia="en-GB"/>
              </w:rPr>
              <w:t>τεμάχι</w:t>
            </w:r>
            <w:proofErr w:type="spellEnd"/>
            <w:r w:rsidRPr="00A31507">
              <w:rPr>
                <w:rFonts w:cs="Times New Roman"/>
                <w:lang w:eastAsia="en-GB"/>
              </w:rPr>
              <w:t>α/συσκευασία</w:t>
            </w:r>
          </w:p>
        </w:tc>
        <w:tc>
          <w:tcPr>
            <w:tcW w:w="503" w:type="pct"/>
          </w:tcPr>
          <w:p w:rsidR="0087448D" w:rsidRPr="006C63FE" w:rsidRDefault="0087448D" w:rsidP="003A6119">
            <w:pPr>
              <w:spacing w:after="0"/>
              <w:jc w:val="left"/>
              <w:rPr>
                <w:rFonts w:cs="Times New Roman"/>
                <w:lang w:val="en-US" w:eastAsia="en-GB"/>
              </w:rPr>
            </w:pPr>
          </w:p>
        </w:tc>
        <w:tc>
          <w:tcPr>
            <w:tcW w:w="562" w:type="pct"/>
          </w:tcPr>
          <w:p w:rsidR="0087448D" w:rsidRPr="006C63FE" w:rsidRDefault="0087448D" w:rsidP="003A6119">
            <w:pPr>
              <w:spacing w:after="0"/>
              <w:jc w:val="left"/>
              <w:rPr>
                <w:rFonts w:cs="Times New Roman"/>
                <w:lang w:val="en-US" w:eastAsia="en-GB"/>
              </w:rPr>
            </w:pPr>
          </w:p>
        </w:tc>
        <w:tc>
          <w:tcPr>
            <w:tcW w:w="1146" w:type="pct"/>
          </w:tcPr>
          <w:p w:rsidR="0087448D" w:rsidRPr="006C63FE" w:rsidRDefault="0087448D" w:rsidP="003A6119">
            <w:pPr>
              <w:spacing w:after="0"/>
              <w:jc w:val="left"/>
              <w:rPr>
                <w:rFonts w:cs="Times New Roman"/>
                <w:lang w:val="en-US" w:eastAsia="en-GB"/>
              </w:rPr>
            </w:pPr>
          </w:p>
        </w:tc>
      </w:tr>
      <w:tr w:rsidR="0087448D" w:rsidRPr="007B2B70" w:rsidTr="003A6119">
        <w:trPr>
          <w:trHeight w:val="12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lastRenderedPageBreak/>
              <w:t>6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eastAsia="en-GB"/>
              </w:rPr>
            </w:pPr>
            <w:r w:rsidRPr="00A31507">
              <w:rPr>
                <w:rFonts w:cs="Times New Roman"/>
                <w:lang w:val="el-GR" w:eastAsia="en-GB"/>
              </w:rPr>
              <w:t xml:space="preserve">Αποστειρωμένες συσκευές διήθησης κενού, κατασκευασμένες από </w:t>
            </w:r>
            <w:proofErr w:type="spellStart"/>
            <w:r w:rsidRPr="00A31507">
              <w:rPr>
                <w:rFonts w:cs="Times New Roman"/>
                <w:lang w:val="el-GR" w:eastAsia="en-GB"/>
              </w:rPr>
              <w:t>πολυστυρένιο</w:t>
            </w:r>
            <w:proofErr w:type="spellEnd"/>
            <w:r w:rsidRPr="00A31507">
              <w:rPr>
                <w:rFonts w:cs="Times New Roman"/>
                <w:lang w:val="el-GR" w:eastAsia="en-GB"/>
              </w:rPr>
              <w:t xml:space="preserve">, κατάλληλες για την αποστείρωση διαλυμάτων και θρεπτικών υλικών, με τα παρακάτω τεχνικά χαρακτηριστικά: Τύπος μεμβράνης: Υδρόφιλη </w:t>
            </w:r>
            <w:r w:rsidRPr="00A31507">
              <w:rPr>
                <w:rFonts w:cs="Times New Roman"/>
                <w:lang w:eastAsia="en-GB"/>
              </w:rPr>
              <w:t>PVDF</w:t>
            </w:r>
            <w:r w:rsidRPr="00A31507">
              <w:rPr>
                <w:rFonts w:cs="Times New Roman"/>
                <w:lang w:val="el-GR" w:eastAsia="en-GB"/>
              </w:rPr>
              <w:t>. Μέγεθος Πόρου: 0.22μ</w:t>
            </w:r>
            <w:r w:rsidRPr="00A31507">
              <w:rPr>
                <w:rFonts w:cs="Times New Roman"/>
                <w:lang w:eastAsia="en-GB"/>
              </w:rPr>
              <w:t>m</w:t>
            </w:r>
            <w:r w:rsidRPr="00A31507">
              <w:rPr>
                <w:rFonts w:cs="Times New Roman"/>
                <w:lang w:val="el-GR" w:eastAsia="en-GB"/>
              </w:rPr>
              <w:t>.  Τρόπος αποστείρωσης: Ακτινοβολία γ΄. Συνολικό Ύψος: 263</w:t>
            </w:r>
            <w:r w:rsidRPr="00A31507">
              <w:rPr>
                <w:rFonts w:cs="Times New Roman"/>
                <w:lang w:eastAsia="en-GB"/>
              </w:rPr>
              <w:t>mm</w:t>
            </w:r>
            <w:r w:rsidRPr="00A31507">
              <w:rPr>
                <w:rFonts w:cs="Times New Roman"/>
                <w:lang w:val="el-GR" w:eastAsia="en-GB"/>
              </w:rPr>
              <w:t>. Διάμετρος μεμβράνης: 73</w:t>
            </w:r>
            <w:r w:rsidRPr="00A31507">
              <w:rPr>
                <w:rFonts w:cs="Times New Roman"/>
                <w:lang w:eastAsia="en-GB"/>
              </w:rPr>
              <w:t>mm</w:t>
            </w:r>
            <w:r w:rsidRPr="00A31507">
              <w:rPr>
                <w:rFonts w:cs="Times New Roman"/>
                <w:lang w:val="el-GR" w:eastAsia="en-GB"/>
              </w:rPr>
              <w:t xml:space="preserve">. Επιφάνεια </w:t>
            </w:r>
            <w:proofErr w:type="spellStart"/>
            <w:r w:rsidRPr="00A31507">
              <w:rPr>
                <w:rFonts w:cs="Times New Roman"/>
                <w:lang w:val="el-GR" w:eastAsia="en-GB"/>
              </w:rPr>
              <w:t>φίλτρανσης</w:t>
            </w:r>
            <w:proofErr w:type="spellEnd"/>
            <w:r w:rsidRPr="00A31507">
              <w:rPr>
                <w:rFonts w:cs="Times New Roman"/>
                <w:lang w:val="el-GR" w:eastAsia="en-GB"/>
              </w:rPr>
              <w:t>: 40</w:t>
            </w:r>
            <w:r w:rsidRPr="00A31507">
              <w:rPr>
                <w:rFonts w:cs="Times New Roman"/>
                <w:lang w:eastAsia="en-GB"/>
              </w:rPr>
              <w:t>cm</w:t>
            </w:r>
            <w:r w:rsidRPr="00A31507">
              <w:rPr>
                <w:rFonts w:cs="Times New Roman"/>
                <w:lang w:val="el-GR" w:eastAsia="en-GB"/>
              </w:rPr>
              <w:t>² . Χωρητικότητα χωνιού: 500</w:t>
            </w:r>
            <w:r w:rsidRPr="00A31507">
              <w:rPr>
                <w:rFonts w:cs="Times New Roman"/>
                <w:lang w:eastAsia="en-GB"/>
              </w:rPr>
              <w:t>ml</w:t>
            </w:r>
            <w:r w:rsidRPr="00A31507">
              <w:rPr>
                <w:rFonts w:cs="Times New Roman"/>
                <w:lang w:val="el-GR" w:eastAsia="en-GB"/>
              </w:rPr>
              <w:t>. Χωρητικότητα φιάλης συλλογής του διηθήματος: 500</w:t>
            </w:r>
            <w:r w:rsidRPr="00A31507">
              <w:rPr>
                <w:rFonts w:cs="Times New Roman"/>
                <w:lang w:eastAsia="en-GB"/>
              </w:rPr>
              <w:t>ml</w:t>
            </w:r>
            <w:r w:rsidRPr="00A31507">
              <w:rPr>
                <w:rFonts w:cs="Times New Roman"/>
                <w:lang w:val="el-GR" w:eastAsia="en-GB"/>
              </w:rPr>
              <w:t xml:space="preserve">. </w:t>
            </w:r>
            <w:r w:rsidRPr="00A31507">
              <w:rPr>
                <w:rFonts w:cs="Times New Roman"/>
                <w:lang w:eastAsia="en-GB"/>
              </w:rPr>
              <w:t>12/</w:t>
            </w:r>
            <w:proofErr w:type="spellStart"/>
            <w:r w:rsidRPr="00A31507">
              <w:rPr>
                <w:rFonts w:cs="Times New Roman"/>
                <w:lang w:eastAsia="en-GB"/>
              </w:rPr>
              <w:t>συσκευ</w:t>
            </w:r>
            <w:proofErr w:type="spellEnd"/>
            <w:r w:rsidRPr="00A31507">
              <w:rPr>
                <w:rFonts w:cs="Times New Roman"/>
                <w:lang w:eastAsia="en-GB"/>
              </w:rPr>
              <w:t>ασία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val="el-GR" w:eastAsia="en-GB"/>
              </w:rPr>
            </w:pPr>
          </w:p>
        </w:tc>
      </w:tr>
      <w:tr w:rsidR="0087448D" w:rsidRPr="007B2B70" w:rsidTr="003A6119">
        <w:trPr>
          <w:trHeight w:val="18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7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eastAsia="en-GB"/>
              </w:rPr>
            </w:pPr>
            <w:r w:rsidRPr="00A31507">
              <w:rPr>
                <w:rFonts w:cs="Times New Roman"/>
                <w:lang w:eastAsia="en-GB"/>
              </w:rPr>
              <w:t xml:space="preserve">Yeast nitrogen base, </w:t>
            </w:r>
            <w:proofErr w:type="spellStart"/>
            <w:r w:rsidRPr="00A31507">
              <w:rPr>
                <w:rFonts w:cs="Times New Roman"/>
                <w:lang w:eastAsia="en-GB"/>
              </w:rPr>
              <w:t>wthout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amino acids, </w:t>
            </w:r>
            <w:proofErr w:type="spellStart"/>
            <w:r w:rsidRPr="00A31507">
              <w:rPr>
                <w:rFonts w:cs="Times New Roman"/>
                <w:lang w:eastAsia="en-GB"/>
              </w:rPr>
              <w:t>με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σύστ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αση: Ammonium </w:t>
            </w:r>
            <w:proofErr w:type="spellStart"/>
            <w:r w:rsidRPr="00A31507">
              <w:rPr>
                <w:rFonts w:cs="Times New Roman"/>
                <w:lang w:eastAsia="en-GB"/>
              </w:rPr>
              <w:t>sulfate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5 g/L, Calcium chloride 0.1 g/L, Ferric chloride 0.0002 g/L, Magnesium </w:t>
            </w:r>
            <w:proofErr w:type="spellStart"/>
            <w:r w:rsidRPr="00A31507">
              <w:rPr>
                <w:rFonts w:cs="Times New Roman"/>
                <w:lang w:eastAsia="en-GB"/>
              </w:rPr>
              <w:t>sulfate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0.5 g/L, </w:t>
            </w:r>
            <w:proofErr w:type="spellStart"/>
            <w:r w:rsidRPr="00A31507">
              <w:rPr>
                <w:rFonts w:cs="Times New Roman"/>
                <w:lang w:eastAsia="en-GB"/>
              </w:rPr>
              <w:t>Monopotassium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phosphate 1 g/L, P-</w:t>
            </w:r>
            <w:proofErr w:type="spellStart"/>
            <w:r w:rsidRPr="00A31507">
              <w:rPr>
                <w:rFonts w:cs="Times New Roman"/>
                <w:lang w:eastAsia="en-GB"/>
              </w:rPr>
              <w:t>Aminobenzoic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acid 0.0002 g/L, Pyridoxine hydrochloride 0.0004 g/L, Sodium chloride 0.1 g/L, Thiamine hydrochloride 0.0004 g/L, Copper </w:t>
            </w:r>
            <w:proofErr w:type="spellStart"/>
            <w:r w:rsidRPr="00A31507">
              <w:rPr>
                <w:rFonts w:cs="Times New Roman"/>
                <w:lang w:eastAsia="en-GB"/>
              </w:rPr>
              <w:t>sulfate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0.04 mg/L, Biotin 0.002 mg/L, Boric acid 0.0005 g/L, Calcium </w:t>
            </w:r>
            <w:proofErr w:type="spellStart"/>
            <w:r w:rsidRPr="00A31507">
              <w:rPr>
                <w:rFonts w:cs="Times New Roman"/>
                <w:lang w:eastAsia="en-GB"/>
              </w:rPr>
              <w:t>patothenate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0.0004 g/L, Inositol 0.002 g/L, </w:t>
            </w:r>
            <w:proofErr w:type="spellStart"/>
            <w:r w:rsidRPr="00A31507">
              <w:rPr>
                <w:rFonts w:cs="Times New Roman"/>
                <w:lang w:eastAsia="en-GB"/>
              </w:rPr>
              <w:t>Manganase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lang w:eastAsia="en-GB"/>
              </w:rPr>
              <w:t>sulfate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0.0004 g/L, Niacin 0.0004 g/L, Potassium iodide 0.0001 g/L, Riboflavin 0.0002 g/L, Sodium </w:t>
            </w:r>
            <w:proofErr w:type="spellStart"/>
            <w:r w:rsidRPr="00A31507">
              <w:rPr>
                <w:rFonts w:cs="Times New Roman"/>
                <w:lang w:eastAsia="en-GB"/>
              </w:rPr>
              <w:t>molybdate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0.0002 g/L, Zinc </w:t>
            </w:r>
            <w:proofErr w:type="spellStart"/>
            <w:r w:rsidRPr="00A31507">
              <w:rPr>
                <w:rFonts w:cs="Times New Roman"/>
                <w:lang w:eastAsia="en-GB"/>
              </w:rPr>
              <w:t>sulfate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 0.0004 g/L, Folic acid 0.002 mg/L. </w:t>
            </w:r>
            <w:proofErr w:type="spellStart"/>
            <w:r w:rsidRPr="00A31507">
              <w:rPr>
                <w:rFonts w:cs="Times New Roman"/>
                <w:lang w:eastAsia="en-GB"/>
              </w:rPr>
              <w:t>Συσκευ</w:t>
            </w:r>
            <w:proofErr w:type="spellEnd"/>
            <w:r w:rsidRPr="00A31507">
              <w:rPr>
                <w:rFonts w:cs="Times New Roman"/>
                <w:lang w:eastAsia="en-GB"/>
              </w:rPr>
              <w:t xml:space="preserve">ασία 500 gr. 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rPr>
                <w:rFonts w:cs="Times New Roman"/>
                <w:lang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 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  <w:r w:rsidRPr="00A31507">
              <w:rPr>
                <w:rFonts w:cs="Times New Roman"/>
                <w:lang w:eastAsia="en-GB"/>
              </w:rPr>
              <w:t> 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88532A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  <w:r>
              <w:rPr>
                <w:rFonts w:cs="Times New Roman"/>
                <w:b/>
                <w:bCs/>
                <w:color w:val="000000"/>
                <w:lang w:val="el-GR" w:eastAsia="en-GB"/>
              </w:rPr>
              <w:t>Ομάδα 2</w:t>
            </w:r>
          </w:p>
        </w:tc>
        <w:tc>
          <w:tcPr>
            <w:tcW w:w="503" w:type="pct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</w:p>
        </w:tc>
        <w:tc>
          <w:tcPr>
            <w:tcW w:w="562" w:type="pct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</w:p>
        </w:tc>
      </w:tr>
      <w:tr w:rsidR="0087448D" w:rsidRPr="007B2B70" w:rsidTr="003A6119">
        <w:trPr>
          <w:trHeight w:val="600"/>
          <w:jc w:val="center"/>
        </w:trPr>
        <w:tc>
          <w:tcPr>
            <w:tcW w:w="293" w:type="pct"/>
            <w:shd w:val="clear" w:color="000000" w:fill="FCD5B4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n-GB"/>
              </w:rPr>
            </w:pPr>
            <w:r w:rsidRPr="00A31507">
              <w:rPr>
                <w:rFonts w:cs="Times New Roman"/>
                <w:b/>
                <w:bCs/>
                <w:color w:val="000000"/>
                <w:lang w:eastAsia="en-GB"/>
              </w:rPr>
              <w:t>A/A</w:t>
            </w:r>
          </w:p>
        </w:tc>
        <w:tc>
          <w:tcPr>
            <w:tcW w:w="2495" w:type="pct"/>
            <w:shd w:val="clear" w:color="000000" w:fill="FCD5B4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  <w:proofErr w:type="spellStart"/>
            <w:r w:rsidRPr="00A31507">
              <w:rPr>
                <w:rFonts w:cs="Times New Roman"/>
                <w:b/>
                <w:bCs/>
                <w:lang w:eastAsia="en-GB"/>
              </w:rPr>
              <w:t>Τεχνικά</w:t>
            </w:r>
            <w:proofErr w:type="spellEnd"/>
            <w:r w:rsidRPr="00A31507">
              <w:rPr>
                <w:rFonts w:cs="Times New Roman"/>
                <w:b/>
                <w:bCs/>
                <w:lang w:eastAsia="en-GB"/>
              </w:rPr>
              <w:t xml:space="preserve"> χαρα</w:t>
            </w:r>
            <w:proofErr w:type="spellStart"/>
            <w:r w:rsidRPr="00A31507">
              <w:rPr>
                <w:rFonts w:cs="Times New Roman"/>
                <w:b/>
                <w:bCs/>
                <w:lang w:eastAsia="en-GB"/>
              </w:rPr>
              <w:t>κτηριστικά</w:t>
            </w:r>
            <w:proofErr w:type="spellEnd"/>
          </w:p>
        </w:tc>
        <w:tc>
          <w:tcPr>
            <w:tcW w:w="503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</w:p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ΝΑΙ</w:t>
            </w:r>
          </w:p>
        </w:tc>
        <w:tc>
          <w:tcPr>
            <w:tcW w:w="562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</w:p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ΟΧΙ</w:t>
            </w:r>
          </w:p>
        </w:tc>
        <w:tc>
          <w:tcPr>
            <w:tcW w:w="1146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</w:p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ΠΑΡΑΠΟΜΠΗ</w:t>
            </w:r>
          </w:p>
        </w:tc>
      </w:tr>
      <w:tr w:rsidR="0087448D" w:rsidRPr="008C640C" w:rsidTr="003A6119">
        <w:trPr>
          <w:trHeight w:val="144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n-GB"/>
              </w:rPr>
            </w:pPr>
            <w:r w:rsidRPr="00A31507">
              <w:rPr>
                <w:rFonts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495" w:type="pct"/>
            <w:shd w:val="clear" w:color="000000" w:fill="FFFFFF"/>
            <w:vAlign w:val="center"/>
            <w:hideMark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val="el-GR" w:eastAsia="en-GB"/>
              </w:rPr>
            </w:pPr>
            <w:r w:rsidRPr="00A31507">
              <w:rPr>
                <w:rFonts w:cs="Tahoma"/>
                <w:color w:val="000000"/>
                <w:lang w:val="el-GR" w:eastAsia="en-GB"/>
              </w:rPr>
              <w:t xml:space="preserve">Προκατασκευασμένα πηκτώματα </w:t>
            </w:r>
            <w:proofErr w:type="spellStart"/>
            <w:r w:rsidRPr="00A31507">
              <w:rPr>
                <w:rFonts w:cs="Tahoma"/>
                <w:color w:val="000000"/>
                <w:lang w:val="el-GR" w:eastAsia="en-GB"/>
              </w:rPr>
              <w:t>πολυακρυλαμιδίου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 xml:space="preserve"> που να παρέχουν διαχωρισμό πρωτεϊνών ευρέος μοριακού βάρους με υψηλή ακεραιότητα διαχωρισμού και δείγματος. Να διαθέτουν ουδέτερο περιβάλλον</w:t>
            </w:r>
            <w:r w:rsidRPr="00A31507">
              <w:rPr>
                <w:rFonts w:cs="Tahoma"/>
                <w:color w:val="000000"/>
                <w:lang w:eastAsia="en-GB"/>
              </w:rPr>
              <w:t> pH </w:t>
            </w:r>
            <w:r w:rsidRPr="00A31507">
              <w:rPr>
                <w:rFonts w:cs="Tahoma"/>
                <w:color w:val="000000"/>
                <w:lang w:val="el-GR" w:eastAsia="en-GB"/>
              </w:rPr>
              <w:t xml:space="preserve">που να ελαχιστοποιεί τις τροποποιήσεις των πρωτεϊνών. Να δύνανται να χρησιμοποιηθούν για την παρασκευή πρωτεϊνών για </w:t>
            </w:r>
            <w:proofErr w:type="spellStart"/>
            <w:r w:rsidRPr="00A31507">
              <w:rPr>
                <w:rFonts w:cs="Tahoma"/>
                <w:color w:val="000000"/>
                <w:lang w:val="el-GR" w:eastAsia="en-GB"/>
              </w:rPr>
              <w:t>αλληλούχιση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 xml:space="preserve">, </w:t>
            </w:r>
            <w:proofErr w:type="spellStart"/>
            <w:r w:rsidRPr="00A31507">
              <w:rPr>
                <w:rFonts w:cs="Tahoma"/>
                <w:color w:val="000000"/>
                <w:lang w:val="el-GR" w:eastAsia="en-GB"/>
              </w:rPr>
              <w:t>φασματομετρία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 xml:space="preserve"> μάζας και τεχνικές όπου η ακεραιότητα πρωτεΐνης είναι σημαντική. Για το διαχωρισμό πρωτεϊνών 3.5 έως 260 </w:t>
            </w:r>
            <w:proofErr w:type="spellStart"/>
            <w:r w:rsidRPr="00A31507">
              <w:rPr>
                <w:rFonts w:cs="Tahoma"/>
                <w:color w:val="000000"/>
                <w:lang w:eastAsia="en-GB"/>
              </w:rPr>
              <w:t>kDa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 xml:space="preserve">. Να έχουν συγκέντρωση 4-12 %. Να διατίθενται σε συσκευασίες ανά 10 και σε μέγεθος 8 </w:t>
            </w:r>
            <w:r w:rsidRPr="00A31507">
              <w:rPr>
                <w:rFonts w:cs="Tahoma"/>
                <w:color w:val="000000"/>
                <w:lang w:eastAsia="en-GB"/>
              </w:rPr>
              <w:t>cm</w:t>
            </w:r>
            <w:r w:rsidRPr="00A31507">
              <w:rPr>
                <w:rFonts w:cs="Tahoma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Tahoma"/>
                <w:color w:val="000000"/>
                <w:lang w:eastAsia="en-GB"/>
              </w:rPr>
              <w:t>x</w:t>
            </w:r>
            <w:r w:rsidRPr="00A31507">
              <w:rPr>
                <w:rFonts w:cs="Tahoma"/>
                <w:color w:val="000000"/>
                <w:lang w:val="el-GR" w:eastAsia="en-GB"/>
              </w:rPr>
              <w:t xml:space="preserve"> 8 </w:t>
            </w:r>
            <w:r w:rsidRPr="00A31507">
              <w:rPr>
                <w:rFonts w:cs="Tahoma"/>
                <w:color w:val="000000"/>
                <w:lang w:eastAsia="en-GB"/>
              </w:rPr>
              <w:t>cm</w:t>
            </w:r>
            <w:r w:rsidRPr="00A31507">
              <w:rPr>
                <w:rFonts w:cs="Tahoma"/>
                <w:color w:val="000000"/>
                <w:lang w:val="el-GR" w:eastAsia="en-GB"/>
              </w:rPr>
              <w:t>, να έχουν πάχος 1</w:t>
            </w:r>
            <w:r w:rsidRPr="00A31507">
              <w:rPr>
                <w:rFonts w:cs="Tahoma"/>
                <w:color w:val="000000"/>
                <w:lang w:eastAsia="en-GB"/>
              </w:rPr>
              <w:t>mm </w:t>
            </w:r>
            <w:r w:rsidRPr="00A31507">
              <w:rPr>
                <w:rFonts w:cs="Tahoma"/>
                <w:color w:val="000000"/>
                <w:lang w:val="el-GR" w:eastAsia="en-GB"/>
              </w:rPr>
              <w:t>και 15 πηγαδάκια.</w:t>
            </w:r>
          </w:p>
        </w:tc>
        <w:tc>
          <w:tcPr>
            <w:tcW w:w="503" w:type="pct"/>
            <w:shd w:val="clear" w:color="000000" w:fill="FFFFFF"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val="el-GR" w:eastAsia="en-GB"/>
              </w:rPr>
            </w:pPr>
          </w:p>
        </w:tc>
        <w:tc>
          <w:tcPr>
            <w:tcW w:w="562" w:type="pct"/>
            <w:shd w:val="clear" w:color="000000" w:fill="FFFFFF"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val="el-GR" w:eastAsia="en-GB"/>
              </w:rPr>
            </w:pPr>
          </w:p>
        </w:tc>
        <w:tc>
          <w:tcPr>
            <w:tcW w:w="1146" w:type="pct"/>
            <w:shd w:val="clear" w:color="000000" w:fill="FFFFFF"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val="el-GR" w:eastAsia="en-GB"/>
              </w:rPr>
            </w:pPr>
          </w:p>
        </w:tc>
      </w:tr>
      <w:tr w:rsidR="0087448D" w:rsidRPr="008C640C" w:rsidTr="003A6119">
        <w:trPr>
          <w:trHeight w:val="852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n-GB"/>
              </w:rPr>
            </w:pPr>
            <w:r w:rsidRPr="00A31507">
              <w:rPr>
                <w:rFonts w:cs="Times New Roman"/>
                <w:b/>
                <w:bCs/>
                <w:color w:val="000000"/>
                <w:lang w:eastAsia="en-GB"/>
              </w:rPr>
              <w:lastRenderedPageBreak/>
              <w:t>9</w:t>
            </w:r>
          </w:p>
        </w:tc>
        <w:tc>
          <w:tcPr>
            <w:tcW w:w="2495" w:type="pct"/>
            <w:shd w:val="clear" w:color="000000" w:fill="FFFFFF"/>
            <w:vAlign w:val="center"/>
            <w:hideMark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val="el-GR" w:eastAsia="en-GB"/>
              </w:rPr>
            </w:pPr>
            <w:r w:rsidRPr="00A31507">
              <w:rPr>
                <w:rFonts w:cs="Tahoma"/>
                <w:color w:val="000000"/>
                <w:lang w:val="el-GR" w:eastAsia="en-GB"/>
              </w:rPr>
              <w:t xml:space="preserve">Προκατασκευασμένα πηκτώματα </w:t>
            </w:r>
            <w:proofErr w:type="spellStart"/>
            <w:r w:rsidRPr="00A31507">
              <w:rPr>
                <w:rFonts w:cs="Tahoma"/>
                <w:color w:val="000000"/>
                <w:lang w:val="el-GR" w:eastAsia="en-GB"/>
              </w:rPr>
              <w:t>πολυακρυλαμιδίου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 xml:space="preserve"> που να παρέχουν διαχωρισμό πρωτεϊνών ευρέος μοριακού βάρους με υψηλή ακεραιότητα διαχωρισμού και δείγματος. Να διαθέτουν ουδέτερο περιβάλλον </w:t>
            </w:r>
            <w:r w:rsidRPr="00A31507">
              <w:rPr>
                <w:rFonts w:cs="Tahoma"/>
                <w:color w:val="000000"/>
                <w:lang w:eastAsia="en-GB"/>
              </w:rPr>
              <w:t>pH</w:t>
            </w:r>
            <w:r w:rsidRPr="00A31507">
              <w:rPr>
                <w:rFonts w:cs="Tahoma"/>
                <w:color w:val="000000"/>
                <w:lang w:val="el-GR" w:eastAsia="en-GB"/>
              </w:rPr>
              <w:t xml:space="preserve"> που να ελαχιστοποιεί τις τροποποιήσεις των πρωτεϊνών. Να δύνανται να χρησιμοποιηθούν για την παρασκευή πρωτεϊνών για </w:t>
            </w:r>
            <w:proofErr w:type="spellStart"/>
            <w:r w:rsidRPr="00A31507">
              <w:rPr>
                <w:rFonts w:cs="Tahoma"/>
                <w:color w:val="000000"/>
                <w:lang w:val="el-GR" w:eastAsia="en-GB"/>
              </w:rPr>
              <w:t>αλληλούχιση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 xml:space="preserve">, </w:t>
            </w:r>
            <w:proofErr w:type="spellStart"/>
            <w:r w:rsidRPr="00A31507">
              <w:rPr>
                <w:rFonts w:cs="Tahoma"/>
                <w:color w:val="000000"/>
                <w:lang w:val="el-GR" w:eastAsia="en-GB"/>
              </w:rPr>
              <w:t>φασματομετρία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 xml:space="preserve"> μάζας και τεχνικές όπου η ακεραιότητα πρωτεΐνης είναι σημαντική. Για το διαχωρισμό πρωτεϊνών 3.5 έως 260 </w:t>
            </w:r>
            <w:proofErr w:type="spellStart"/>
            <w:r w:rsidRPr="00A31507">
              <w:rPr>
                <w:rFonts w:cs="Tahoma"/>
                <w:color w:val="000000"/>
                <w:lang w:eastAsia="en-GB"/>
              </w:rPr>
              <w:t>kDa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 xml:space="preserve">. Να έχουν συγκέντρωση 4-12 %. Να διατίθενται σε συσκευασίες ανά 10 και σε μέγεθος 8 </w:t>
            </w:r>
            <w:r w:rsidRPr="00A31507">
              <w:rPr>
                <w:rFonts w:cs="Tahoma"/>
                <w:color w:val="000000"/>
                <w:lang w:eastAsia="en-GB"/>
              </w:rPr>
              <w:t>cm</w:t>
            </w:r>
            <w:r w:rsidRPr="00A31507">
              <w:rPr>
                <w:rFonts w:cs="Tahoma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Tahoma"/>
                <w:color w:val="000000"/>
                <w:lang w:eastAsia="en-GB"/>
              </w:rPr>
              <w:t>x</w:t>
            </w:r>
            <w:r w:rsidRPr="00A31507">
              <w:rPr>
                <w:rFonts w:cs="Tahoma"/>
                <w:color w:val="000000"/>
                <w:lang w:val="el-GR" w:eastAsia="en-GB"/>
              </w:rPr>
              <w:t xml:space="preserve"> 8 </w:t>
            </w:r>
            <w:r w:rsidRPr="00A31507">
              <w:rPr>
                <w:rFonts w:cs="Tahoma"/>
                <w:color w:val="000000"/>
                <w:lang w:eastAsia="en-GB"/>
              </w:rPr>
              <w:t>cm</w:t>
            </w:r>
            <w:r w:rsidRPr="00A31507">
              <w:rPr>
                <w:rFonts w:cs="Tahoma"/>
                <w:color w:val="000000"/>
                <w:lang w:val="el-GR" w:eastAsia="en-GB"/>
              </w:rPr>
              <w:t xml:space="preserve">, να έχουν πάχος 1,5 </w:t>
            </w:r>
            <w:r w:rsidRPr="00A31507">
              <w:rPr>
                <w:rFonts w:cs="Tahoma"/>
                <w:color w:val="000000"/>
                <w:lang w:eastAsia="en-GB"/>
              </w:rPr>
              <w:t>mm</w:t>
            </w:r>
            <w:r w:rsidRPr="00A31507">
              <w:rPr>
                <w:rFonts w:cs="Tahoma"/>
                <w:color w:val="000000"/>
                <w:lang w:val="el-GR" w:eastAsia="en-GB"/>
              </w:rPr>
              <w:t xml:space="preserve"> και 15 πηγαδάκια.</w:t>
            </w:r>
          </w:p>
        </w:tc>
        <w:tc>
          <w:tcPr>
            <w:tcW w:w="503" w:type="pct"/>
            <w:shd w:val="clear" w:color="000000" w:fill="FFFFFF"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val="el-GR" w:eastAsia="en-GB"/>
              </w:rPr>
            </w:pPr>
          </w:p>
        </w:tc>
        <w:tc>
          <w:tcPr>
            <w:tcW w:w="562" w:type="pct"/>
            <w:shd w:val="clear" w:color="000000" w:fill="FFFFFF"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val="el-GR" w:eastAsia="en-GB"/>
              </w:rPr>
            </w:pPr>
          </w:p>
        </w:tc>
        <w:tc>
          <w:tcPr>
            <w:tcW w:w="1146" w:type="pct"/>
            <w:shd w:val="clear" w:color="000000" w:fill="FFFFFF"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val="el-GR" w:eastAsia="en-GB"/>
              </w:rPr>
            </w:pPr>
          </w:p>
        </w:tc>
      </w:tr>
      <w:tr w:rsidR="0087448D" w:rsidRPr="007B2B70" w:rsidTr="003A6119">
        <w:trPr>
          <w:trHeight w:val="168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n-GB"/>
              </w:rPr>
            </w:pPr>
            <w:r w:rsidRPr="00A31507">
              <w:rPr>
                <w:rFonts w:cs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495" w:type="pct"/>
            <w:shd w:val="clear" w:color="000000" w:fill="FFFFFF"/>
            <w:vAlign w:val="center"/>
            <w:hideMark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eastAsia="en-GB"/>
              </w:rPr>
            </w:pPr>
            <w:proofErr w:type="spellStart"/>
            <w:r w:rsidRPr="00A31507">
              <w:rPr>
                <w:rFonts w:cs="Tahoma"/>
                <w:color w:val="000000"/>
                <w:lang w:eastAsia="en-GB"/>
              </w:rPr>
              <w:t>Qubit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>™</w:t>
            </w:r>
            <w:r w:rsidRPr="00A31507">
              <w:rPr>
                <w:rFonts w:cs="Tahoma"/>
                <w:color w:val="000000"/>
                <w:lang w:eastAsia="en-GB"/>
              </w:rPr>
              <w:t> Protein Assay Kit</w:t>
            </w:r>
            <w:r w:rsidRPr="00A31507">
              <w:rPr>
                <w:rFonts w:cs="Tahoma"/>
                <w:color w:val="000000"/>
                <w:lang w:val="el-GR" w:eastAsia="en-GB"/>
              </w:rPr>
              <w:t xml:space="preserve"> ανάλυσης πρωτεϊνών ειδικό για χρήση με το </w:t>
            </w:r>
            <w:proofErr w:type="spellStart"/>
            <w:r w:rsidRPr="00A31507">
              <w:rPr>
                <w:rFonts w:cs="Tahoma"/>
                <w:color w:val="000000"/>
                <w:lang w:val="el-GR" w:eastAsia="en-GB"/>
              </w:rPr>
              <w:t>φθοριόμετρο</w:t>
            </w:r>
            <w:proofErr w:type="spellEnd"/>
            <w:r w:rsidRPr="00A31507">
              <w:rPr>
                <w:rFonts w:cs="Tahoma"/>
                <w:color w:val="000000"/>
                <w:lang w:eastAsia="en-GB"/>
              </w:rPr>
              <w:t> </w:t>
            </w:r>
            <w:proofErr w:type="spellStart"/>
            <w:r w:rsidRPr="00A31507">
              <w:rPr>
                <w:rFonts w:cs="Tahoma"/>
                <w:color w:val="000000"/>
                <w:lang w:eastAsia="en-GB"/>
              </w:rPr>
              <w:t>Qubit</w:t>
            </w:r>
            <w:proofErr w:type="spellEnd"/>
            <w:r w:rsidRPr="00A31507">
              <w:rPr>
                <w:rFonts w:cs="Tahoma"/>
                <w:color w:val="000000"/>
                <w:lang w:eastAsia="en-GB"/>
              </w:rPr>
              <w:t> </w:t>
            </w:r>
            <w:r w:rsidRPr="00A31507">
              <w:rPr>
                <w:rFonts w:cs="Tahoma"/>
                <w:color w:val="000000"/>
                <w:lang w:val="el-GR" w:eastAsia="en-GB"/>
              </w:rPr>
              <w:t>και από τον ίδιο κατασκευαστικό οίκο. Η δοκιμασία να έχει υψηλή ειδικότητα για πρωτεΐνες και να είναι σχεδιασμένη ώστε να είναι ακριβής παρουσία αναγωγικών παραγόντων. Κοινοί μολυσματικοί παράγοντες όπως αναγωγικοί παράγοντες (</w:t>
            </w:r>
            <w:r w:rsidRPr="00A31507">
              <w:rPr>
                <w:rFonts w:cs="Tahoma"/>
                <w:color w:val="000000"/>
                <w:lang w:eastAsia="en-GB"/>
              </w:rPr>
              <w:t>DTT</w:t>
            </w:r>
            <w:r w:rsidRPr="00A31507">
              <w:rPr>
                <w:rFonts w:cs="Tahoma"/>
                <w:color w:val="000000"/>
                <w:lang w:val="el-GR" w:eastAsia="en-GB"/>
              </w:rPr>
              <w:t>, β-</w:t>
            </w:r>
            <w:proofErr w:type="spellStart"/>
            <w:r w:rsidRPr="00A31507">
              <w:rPr>
                <w:rFonts w:cs="Tahoma"/>
                <w:color w:val="000000"/>
                <w:lang w:eastAsia="en-GB"/>
              </w:rPr>
              <w:t>mercaptoethanol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 xml:space="preserve">), άλατα, ελεύθερα </w:t>
            </w:r>
            <w:proofErr w:type="spellStart"/>
            <w:r w:rsidRPr="00A31507">
              <w:rPr>
                <w:rFonts w:cs="Tahoma"/>
                <w:color w:val="000000"/>
                <w:lang w:val="el-GR" w:eastAsia="en-GB"/>
              </w:rPr>
              <w:t>νουκλεοτίδια</w:t>
            </w:r>
            <w:proofErr w:type="spellEnd"/>
            <w:r w:rsidRPr="00A31507">
              <w:rPr>
                <w:rFonts w:cs="Tahoma"/>
                <w:color w:val="000000"/>
                <w:lang w:val="el-GR" w:eastAsia="en-GB"/>
              </w:rPr>
              <w:t>, αμινοξέα, διαλύτες,</w:t>
            </w:r>
            <w:r w:rsidRPr="00A31507">
              <w:rPr>
                <w:rFonts w:cs="Tahoma"/>
                <w:color w:val="000000"/>
                <w:lang w:eastAsia="en-GB"/>
              </w:rPr>
              <w:t> DNA</w:t>
            </w:r>
            <w:r w:rsidRPr="00A31507">
              <w:rPr>
                <w:rFonts w:cs="Tahoma"/>
                <w:color w:val="000000"/>
                <w:lang w:val="el-GR" w:eastAsia="en-GB"/>
              </w:rPr>
              <w:t>, αλλά όχι απορρυπαντικά, να γίνονται ανεκτά από τη δοκιμασία. Το</w:t>
            </w:r>
            <w:r w:rsidRPr="00A31507">
              <w:rPr>
                <w:rFonts w:cs="Tahoma"/>
                <w:color w:val="000000"/>
                <w:lang w:eastAsia="en-GB"/>
              </w:rPr>
              <w:t> kit </w:t>
            </w:r>
            <w:r w:rsidRPr="00A31507">
              <w:rPr>
                <w:rFonts w:cs="Tahoma"/>
                <w:color w:val="000000"/>
                <w:lang w:val="el-GR" w:eastAsia="en-GB"/>
              </w:rPr>
              <w:t>να περιέχει συμπυκνωμένο αντιδραστήριο δοκιμασίας, ρυθμιστικό διάλυμα αραίωσης και προ-αραιωμένα πρότυπα</w:t>
            </w:r>
            <w:r w:rsidRPr="00A31507">
              <w:rPr>
                <w:rFonts w:cs="Tahoma"/>
                <w:color w:val="000000"/>
                <w:lang w:eastAsia="en-GB"/>
              </w:rPr>
              <w:t> BSA</w:t>
            </w:r>
            <w:r w:rsidRPr="00A31507">
              <w:rPr>
                <w:rFonts w:cs="Tahoma"/>
                <w:color w:val="000000"/>
                <w:lang w:val="el-GR" w:eastAsia="en-GB"/>
              </w:rPr>
              <w:t>.</w:t>
            </w:r>
            <w:r w:rsidRPr="00A31507">
              <w:rPr>
                <w:rFonts w:cs="Tahoma"/>
                <w:color w:val="000000"/>
                <w:lang w:eastAsia="en-GB"/>
              </w:rPr>
              <w:t> </w:t>
            </w:r>
            <w:proofErr w:type="spellStart"/>
            <w:r w:rsidRPr="00A31507">
              <w:rPr>
                <w:rFonts w:cs="Tahoma"/>
                <w:color w:val="000000"/>
                <w:lang w:eastAsia="en-GB"/>
              </w:rPr>
              <w:t>Ογκος</w:t>
            </w:r>
            <w:proofErr w:type="spellEnd"/>
            <w:r w:rsidRPr="00A31507">
              <w:rPr>
                <w:rFonts w:cs="Tahoma"/>
                <w:color w:val="000000"/>
                <w:lang w:eastAsia="en-GB"/>
              </w:rPr>
              <w:t xml:space="preserve"> </w:t>
            </w:r>
            <w:proofErr w:type="spellStart"/>
            <w:r w:rsidRPr="00A31507">
              <w:rPr>
                <w:rFonts w:cs="Tahoma"/>
                <w:color w:val="000000"/>
                <w:lang w:eastAsia="en-GB"/>
              </w:rPr>
              <w:t>δείγμ</w:t>
            </w:r>
            <w:proofErr w:type="spellEnd"/>
            <w:r w:rsidRPr="00A31507">
              <w:rPr>
                <w:rFonts w:cs="Tahoma"/>
                <w:color w:val="000000"/>
                <w:lang w:eastAsia="en-GB"/>
              </w:rPr>
              <w:t xml:space="preserve">ατος: 1-20 µL (12.5μg/ml - 5mg/ml). </w:t>
            </w:r>
            <w:proofErr w:type="spellStart"/>
            <w:r w:rsidRPr="00A31507">
              <w:rPr>
                <w:rFonts w:cs="Tahoma"/>
                <w:color w:val="000000"/>
                <w:lang w:eastAsia="en-GB"/>
              </w:rPr>
              <w:t>Συσκευ</w:t>
            </w:r>
            <w:proofErr w:type="spellEnd"/>
            <w:r w:rsidRPr="00A31507">
              <w:rPr>
                <w:rFonts w:cs="Tahoma"/>
                <w:color w:val="000000"/>
                <w:lang w:eastAsia="en-GB"/>
              </w:rPr>
              <w:t>ασία: 500 α</w:t>
            </w:r>
            <w:proofErr w:type="spellStart"/>
            <w:r w:rsidRPr="00A31507">
              <w:rPr>
                <w:rFonts w:cs="Tahoma"/>
                <w:color w:val="000000"/>
                <w:lang w:eastAsia="en-GB"/>
              </w:rPr>
              <w:t>ντιδράσεις</w:t>
            </w:r>
            <w:proofErr w:type="spellEnd"/>
          </w:p>
        </w:tc>
        <w:tc>
          <w:tcPr>
            <w:tcW w:w="503" w:type="pct"/>
            <w:shd w:val="clear" w:color="000000" w:fill="FFFFFF"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eastAsia="en-GB"/>
              </w:rPr>
            </w:pPr>
          </w:p>
        </w:tc>
        <w:tc>
          <w:tcPr>
            <w:tcW w:w="562" w:type="pct"/>
            <w:shd w:val="clear" w:color="000000" w:fill="FFFFFF"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eastAsia="en-GB"/>
              </w:rPr>
            </w:pPr>
          </w:p>
        </w:tc>
        <w:tc>
          <w:tcPr>
            <w:tcW w:w="1146" w:type="pct"/>
            <w:shd w:val="clear" w:color="000000" w:fill="FFFFFF"/>
          </w:tcPr>
          <w:p w:rsidR="0087448D" w:rsidRPr="00A31507" w:rsidRDefault="0087448D" w:rsidP="003A6119">
            <w:pPr>
              <w:spacing w:after="0"/>
              <w:rPr>
                <w:rFonts w:cs="Tahoma"/>
                <w:color w:val="000000"/>
                <w:lang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 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  <w:r w:rsidRPr="00A31507">
              <w:rPr>
                <w:rFonts w:cs="Times New Roman"/>
                <w:lang w:eastAsia="en-GB"/>
              </w:rPr>
              <w:t> 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</w:p>
        </w:tc>
        <w:tc>
          <w:tcPr>
            <w:tcW w:w="2495" w:type="pct"/>
            <w:shd w:val="clear" w:color="auto" w:fill="auto"/>
            <w:vAlign w:val="center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88532A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  <w:r>
              <w:rPr>
                <w:rFonts w:cs="Times New Roman"/>
                <w:b/>
                <w:bCs/>
                <w:color w:val="000000"/>
                <w:lang w:val="el-GR" w:eastAsia="en-GB"/>
              </w:rPr>
              <w:t>Ομάδα 3</w:t>
            </w:r>
          </w:p>
        </w:tc>
        <w:tc>
          <w:tcPr>
            <w:tcW w:w="503" w:type="pct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</w:p>
        </w:tc>
        <w:tc>
          <w:tcPr>
            <w:tcW w:w="562" w:type="pct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</w:p>
        </w:tc>
      </w:tr>
      <w:tr w:rsidR="0087448D" w:rsidRPr="007B2B70" w:rsidTr="003A6119">
        <w:trPr>
          <w:trHeight w:val="720"/>
          <w:jc w:val="center"/>
        </w:trPr>
        <w:tc>
          <w:tcPr>
            <w:tcW w:w="293" w:type="pct"/>
            <w:shd w:val="clear" w:color="000000" w:fill="FCD5B4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n-GB"/>
              </w:rPr>
            </w:pPr>
            <w:r w:rsidRPr="00A31507">
              <w:rPr>
                <w:rFonts w:cs="Times New Roman"/>
                <w:b/>
                <w:bCs/>
                <w:color w:val="000000"/>
                <w:lang w:eastAsia="en-GB"/>
              </w:rPr>
              <w:t>A/A</w:t>
            </w:r>
          </w:p>
        </w:tc>
        <w:tc>
          <w:tcPr>
            <w:tcW w:w="2495" w:type="pct"/>
            <w:shd w:val="clear" w:color="000000" w:fill="FCD5B4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  <w:r w:rsidRPr="00A31507">
              <w:rPr>
                <w:rFonts w:cs="Times New Roman"/>
                <w:b/>
                <w:bCs/>
                <w:lang w:eastAsia="en-GB"/>
              </w:rPr>
              <w:t>ΤΕΧΝΙΚΕΣ ΠΡΟΔΙΑΓΡΑΦΕΣ</w:t>
            </w:r>
          </w:p>
        </w:tc>
        <w:tc>
          <w:tcPr>
            <w:tcW w:w="503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</w:p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 xml:space="preserve">ΝΑΙ </w:t>
            </w:r>
          </w:p>
        </w:tc>
        <w:tc>
          <w:tcPr>
            <w:tcW w:w="562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</w:p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ΟΧΙ</w:t>
            </w:r>
          </w:p>
        </w:tc>
        <w:tc>
          <w:tcPr>
            <w:tcW w:w="1146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</w:p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ΠΑΡΑΠΟΜΠΗ</w:t>
            </w:r>
          </w:p>
        </w:tc>
      </w:tr>
      <w:tr w:rsidR="0087448D" w:rsidRPr="007B2B70" w:rsidTr="003A6119">
        <w:trPr>
          <w:trHeight w:val="645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11</w:t>
            </w:r>
          </w:p>
        </w:tc>
        <w:tc>
          <w:tcPr>
            <w:tcW w:w="2495" w:type="pct"/>
            <w:shd w:val="clear" w:color="auto" w:fill="auto"/>
            <w:vAlign w:val="bottom"/>
            <w:hideMark/>
          </w:tcPr>
          <w:p w:rsidR="0087448D" w:rsidRPr="00A31507" w:rsidRDefault="0087448D" w:rsidP="003A6119">
            <w:pPr>
              <w:spacing w:after="0"/>
              <w:rPr>
                <w:rFonts w:cs="Open Sans"/>
                <w:lang w:eastAsia="en-GB"/>
              </w:rPr>
            </w:pPr>
            <w:proofErr w:type="spellStart"/>
            <w:r w:rsidRPr="00A31507">
              <w:rPr>
                <w:rFonts w:cs="Open Sans"/>
                <w:lang w:val="el-GR" w:eastAsia="en-GB"/>
              </w:rPr>
              <w:t>Ανασυνδιασμένη</w:t>
            </w:r>
            <w:proofErr w:type="spellEnd"/>
            <w:r w:rsidRPr="00A31507">
              <w:rPr>
                <w:rFonts w:cs="Open Sans"/>
                <w:lang w:val="el-GR" w:eastAsia="en-GB"/>
              </w:rPr>
              <w:t xml:space="preserve"> </w:t>
            </w:r>
            <w:proofErr w:type="spellStart"/>
            <w:r w:rsidRPr="00A31507">
              <w:rPr>
                <w:rFonts w:cs="Open Sans"/>
                <w:lang w:eastAsia="en-GB"/>
              </w:rPr>
              <w:t>Taq</w:t>
            </w:r>
            <w:proofErr w:type="spellEnd"/>
            <w:r w:rsidRPr="00A31507">
              <w:rPr>
                <w:rFonts w:cs="Open Sans"/>
                <w:lang w:val="el-GR" w:eastAsia="en-GB"/>
              </w:rPr>
              <w:t xml:space="preserve"> </w:t>
            </w:r>
            <w:r w:rsidRPr="00A31507">
              <w:rPr>
                <w:rFonts w:cs="Open Sans"/>
                <w:lang w:eastAsia="en-GB"/>
              </w:rPr>
              <w:t>DNA</w:t>
            </w:r>
            <w:r w:rsidRPr="00A31507">
              <w:rPr>
                <w:rFonts w:cs="Open Sans"/>
                <w:lang w:val="el-GR" w:eastAsia="en-GB"/>
              </w:rPr>
              <w:t xml:space="preserve"> </w:t>
            </w:r>
            <w:proofErr w:type="spellStart"/>
            <w:r w:rsidRPr="00A31507">
              <w:rPr>
                <w:rFonts w:cs="Open Sans"/>
                <w:lang w:val="el-GR" w:eastAsia="en-GB"/>
              </w:rPr>
              <w:t>πολυμεράση</w:t>
            </w:r>
            <w:proofErr w:type="spellEnd"/>
            <w:r w:rsidRPr="00A31507">
              <w:rPr>
                <w:rFonts w:cs="Open Sans"/>
                <w:lang w:val="el-GR" w:eastAsia="en-GB"/>
              </w:rPr>
              <w:t xml:space="preserve"> </w:t>
            </w:r>
            <w:proofErr w:type="spellStart"/>
            <w:r w:rsidRPr="00A31507">
              <w:rPr>
                <w:rFonts w:cs="Open Sans"/>
                <w:lang w:val="el-GR" w:eastAsia="en-GB"/>
              </w:rPr>
              <w:t>υπερκάθαρη</w:t>
            </w:r>
            <w:proofErr w:type="spellEnd"/>
            <w:r w:rsidRPr="00A31507">
              <w:rPr>
                <w:rFonts w:cs="Open Sans"/>
                <w:lang w:val="el-GR" w:eastAsia="en-GB"/>
              </w:rPr>
              <w:t xml:space="preserve"> και </w:t>
            </w:r>
            <w:proofErr w:type="spellStart"/>
            <w:r w:rsidRPr="00A31507">
              <w:rPr>
                <w:rFonts w:cs="Open Sans"/>
                <w:lang w:val="el-GR" w:eastAsia="en-GB"/>
              </w:rPr>
              <w:t>θερμοανθεκτική</w:t>
            </w:r>
            <w:proofErr w:type="spellEnd"/>
            <w:r w:rsidRPr="00A31507">
              <w:rPr>
                <w:rFonts w:cs="Open Sans"/>
                <w:lang w:val="el-GR" w:eastAsia="en-GB"/>
              </w:rPr>
              <w:t xml:space="preserve">. Να έχει απομονωθεί από το είδος </w:t>
            </w:r>
            <w:proofErr w:type="spellStart"/>
            <w:r w:rsidRPr="00A31507">
              <w:rPr>
                <w:rFonts w:cs="Open Sans"/>
                <w:lang w:eastAsia="en-GB"/>
              </w:rPr>
              <w:t>Thermus</w:t>
            </w:r>
            <w:proofErr w:type="spellEnd"/>
            <w:r w:rsidRPr="00A31507">
              <w:rPr>
                <w:rFonts w:cs="Open Sans"/>
                <w:lang w:val="el-GR" w:eastAsia="en-GB"/>
              </w:rPr>
              <w:t xml:space="preserve"> </w:t>
            </w:r>
            <w:proofErr w:type="spellStart"/>
            <w:r w:rsidRPr="00A31507">
              <w:rPr>
                <w:rFonts w:cs="Open Sans"/>
                <w:lang w:eastAsia="en-GB"/>
              </w:rPr>
              <w:t>Aquaticus</w:t>
            </w:r>
            <w:proofErr w:type="spellEnd"/>
            <w:r w:rsidRPr="00A31507">
              <w:rPr>
                <w:rFonts w:cs="Open Sans"/>
                <w:lang w:val="el-GR" w:eastAsia="en-GB"/>
              </w:rPr>
              <w:t xml:space="preserve"> και να έχει μοριακό βάρος περίπου 94</w:t>
            </w:r>
            <w:proofErr w:type="spellStart"/>
            <w:r w:rsidRPr="00A31507">
              <w:rPr>
                <w:rFonts w:cs="Open Sans"/>
                <w:lang w:eastAsia="en-GB"/>
              </w:rPr>
              <w:t>kD</w:t>
            </w:r>
            <w:proofErr w:type="spellEnd"/>
            <w:r w:rsidRPr="00A31507">
              <w:rPr>
                <w:rFonts w:cs="Open Sans"/>
                <w:lang w:val="el-GR" w:eastAsia="en-GB"/>
              </w:rPr>
              <w:t xml:space="preserve">. Να αφήνει ένα </w:t>
            </w:r>
            <w:r w:rsidRPr="00A31507">
              <w:rPr>
                <w:rFonts w:cs="Open Sans"/>
                <w:lang w:eastAsia="en-GB"/>
              </w:rPr>
              <w:t>A</w:t>
            </w:r>
            <w:r w:rsidRPr="00A31507">
              <w:rPr>
                <w:rFonts w:cs="Open Sans"/>
                <w:lang w:val="el-GR" w:eastAsia="en-GB"/>
              </w:rPr>
              <w:t xml:space="preserve"> </w:t>
            </w:r>
            <w:r w:rsidRPr="00A31507">
              <w:rPr>
                <w:rFonts w:cs="Open Sans"/>
                <w:lang w:eastAsia="en-GB"/>
              </w:rPr>
              <w:t>overhang</w:t>
            </w:r>
            <w:r w:rsidRPr="00A31507">
              <w:rPr>
                <w:rFonts w:cs="Open Sans"/>
                <w:lang w:val="el-GR" w:eastAsia="en-GB"/>
              </w:rPr>
              <w:t xml:space="preserve">. Να παραδίδεται μαζί με 10Χ </w:t>
            </w:r>
            <w:r w:rsidRPr="00A31507">
              <w:rPr>
                <w:rFonts w:cs="Open Sans"/>
                <w:lang w:eastAsia="en-GB"/>
              </w:rPr>
              <w:t>Key</w:t>
            </w:r>
            <w:r w:rsidRPr="00A31507">
              <w:rPr>
                <w:rFonts w:cs="Open Sans"/>
                <w:lang w:val="el-GR" w:eastAsia="en-GB"/>
              </w:rPr>
              <w:t xml:space="preserve"> </w:t>
            </w:r>
            <w:r w:rsidRPr="00A31507">
              <w:rPr>
                <w:rFonts w:cs="Open Sans"/>
                <w:lang w:eastAsia="en-GB"/>
              </w:rPr>
              <w:t>buffer</w:t>
            </w:r>
            <w:r w:rsidRPr="00A31507">
              <w:rPr>
                <w:rFonts w:cs="Open Sans"/>
                <w:lang w:val="el-GR" w:eastAsia="en-GB"/>
              </w:rPr>
              <w:t xml:space="preserve"> και 10</w:t>
            </w:r>
            <w:r w:rsidRPr="00A31507">
              <w:rPr>
                <w:rFonts w:cs="Open Sans"/>
                <w:lang w:eastAsia="en-GB"/>
              </w:rPr>
              <w:t>X</w:t>
            </w:r>
            <w:r w:rsidRPr="00A31507">
              <w:rPr>
                <w:rFonts w:cs="Open Sans"/>
                <w:lang w:val="el-GR" w:eastAsia="en-GB"/>
              </w:rPr>
              <w:t xml:space="preserve"> </w:t>
            </w:r>
            <w:r w:rsidRPr="00A31507">
              <w:rPr>
                <w:rFonts w:cs="Open Sans"/>
                <w:lang w:eastAsia="en-GB"/>
              </w:rPr>
              <w:t>Extra</w:t>
            </w:r>
            <w:r w:rsidRPr="00A31507">
              <w:rPr>
                <w:rFonts w:cs="Open Sans"/>
                <w:lang w:val="el-GR" w:eastAsia="en-GB"/>
              </w:rPr>
              <w:t xml:space="preserve"> </w:t>
            </w:r>
            <w:r w:rsidRPr="00A31507">
              <w:rPr>
                <w:rFonts w:cs="Open Sans"/>
                <w:lang w:eastAsia="en-GB"/>
              </w:rPr>
              <w:t>buffer</w:t>
            </w:r>
            <w:r w:rsidRPr="00A31507">
              <w:rPr>
                <w:rFonts w:cs="Open Sans"/>
                <w:lang w:val="el-GR" w:eastAsia="en-GB"/>
              </w:rPr>
              <w:t xml:space="preserve"> . </w:t>
            </w:r>
            <w:proofErr w:type="spellStart"/>
            <w:r w:rsidRPr="00A31507">
              <w:rPr>
                <w:rFonts w:cs="Open Sans"/>
                <w:lang w:eastAsia="en-GB"/>
              </w:rPr>
              <w:t>Συσκευ</w:t>
            </w:r>
            <w:proofErr w:type="spellEnd"/>
            <w:r w:rsidRPr="00A31507">
              <w:rPr>
                <w:rFonts w:cs="Open Sans"/>
                <w:lang w:eastAsia="en-GB"/>
              </w:rPr>
              <w:t>ασία 500 EU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lang w:val="el-GR" w:eastAsia="en-GB"/>
              </w:rPr>
            </w:pPr>
          </w:p>
        </w:tc>
      </w:tr>
      <w:tr w:rsidR="0087448D" w:rsidRPr="007B2B70" w:rsidTr="003A6119">
        <w:trPr>
          <w:trHeight w:val="1425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12</w:t>
            </w:r>
          </w:p>
        </w:tc>
        <w:tc>
          <w:tcPr>
            <w:tcW w:w="2495" w:type="pct"/>
            <w:shd w:val="clear" w:color="auto" w:fill="auto"/>
            <w:vAlign w:val="bottom"/>
            <w:hideMark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eastAsia="en-GB"/>
              </w:rPr>
            </w:pPr>
            <w:r w:rsidRPr="00A31507">
              <w:rPr>
                <w:rFonts w:cs="Open Sans"/>
                <w:color w:val="000000"/>
                <w:lang w:eastAsia="en-GB"/>
              </w:rPr>
              <w:t>Kit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ταυτόχρονης απομόνωσης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γενομικού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Open Sans"/>
                <w:color w:val="000000"/>
                <w:lang w:eastAsia="en-GB"/>
              </w:rPr>
              <w:t>DNA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και ολικού </w:t>
            </w:r>
            <w:r w:rsidRPr="00A31507">
              <w:rPr>
                <w:rFonts w:cs="Open Sans"/>
                <w:color w:val="000000"/>
                <w:lang w:eastAsia="en-GB"/>
              </w:rPr>
              <w:t>RNA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από κύτταρα και ιστούς. Να χρησιμοποιείτε στήλες τεχνολογίας 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HiBind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. Το δείγμα να μη χρειάζεται να διαχωριστεί. Να μπορεί να αποβάλει ολοκληρωτικά αναστολείς και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επιμολυντές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. Χωρίς οργανική απομόνωση. Να χρειάζεται λιγότερο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απο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30 λεπτά. Το αρχικό </w:t>
            </w:r>
            <w:r w:rsidRPr="00A31507">
              <w:rPr>
                <w:rFonts w:cs="Open Sans"/>
                <w:color w:val="000000"/>
                <w:lang w:val="el-GR" w:eastAsia="en-GB"/>
              </w:rPr>
              <w:lastRenderedPageBreak/>
              <w:t xml:space="preserve">μέγεθος δείγματος να είναι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είναι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εώς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30</w:t>
            </w:r>
            <w:r w:rsidRPr="00A31507">
              <w:rPr>
                <w:rFonts w:cs="Open Sans"/>
                <w:color w:val="000000"/>
                <w:lang w:eastAsia="en-GB"/>
              </w:rPr>
              <w:t>mg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ιστού ή 10^7 κύτταρα.  Ο όγκος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έκλουσης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να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ειναι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40-70μ</w:t>
            </w:r>
            <w:r w:rsidRPr="00A31507">
              <w:rPr>
                <w:rFonts w:cs="Open Sans"/>
                <w:color w:val="000000"/>
                <w:lang w:eastAsia="en-GB"/>
              </w:rPr>
              <w:t>L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Open Sans"/>
                <w:color w:val="000000"/>
                <w:lang w:eastAsia="en-GB"/>
              </w:rPr>
              <w:t>RNA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και 50-100μ</w:t>
            </w:r>
            <w:r w:rsidRPr="00A31507">
              <w:rPr>
                <w:rFonts w:cs="Open Sans"/>
                <w:color w:val="000000"/>
                <w:lang w:eastAsia="en-GB"/>
              </w:rPr>
              <w:t>L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Open Sans"/>
                <w:color w:val="000000"/>
                <w:lang w:eastAsia="en-GB"/>
              </w:rPr>
              <w:t>DNA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. Να έχει τη δυνατότητα να δεσμεύσει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εως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και 100μ</w:t>
            </w:r>
            <w:r w:rsidRPr="00A31507">
              <w:rPr>
                <w:rFonts w:cs="Open Sans"/>
                <w:color w:val="000000"/>
                <w:lang w:eastAsia="en-GB"/>
              </w:rPr>
              <w:t>g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Open Sans"/>
                <w:color w:val="000000"/>
                <w:lang w:eastAsia="en-GB"/>
              </w:rPr>
              <w:t>DNA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και </w:t>
            </w:r>
            <w:r w:rsidRPr="00A31507">
              <w:rPr>
                <w:rFonts w:cs="Open Sans"/>
                <w:color w:val="000000"/>
                <w:lang w:eastAsia="en-GB"/>
              </w:rPr>
              <w:t>R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ΝΑ. Να είναι κατάλληλο και για εφαρμογές </w:t>
            </w:r>
            <w:r w:rsidRPr="00A31507">
              <w:rPr>
                <w:rFonts w:cs="Open Sans"/>
                <w:color w:val="000000"/>
                <w:lang w:eastAsia="en-GB"/>
              </w:rPr>
              <w:t>poly</w:t>
            </w:r>
            <w:r w:rsidRPr="00A31507">
              <w:rPr>
                <w:rFonts w:cs="Open Sans"/>
                <w:color w:val="000000"/>
                <w:lang w:val="el-GR" w:eastAsia="en-GB"/>
              </w:rPr>
              <w:t>-</w:t>
            </w:r>
            <w:r w:rsidRPr="00A31507">
              <w:rPr>
                <w:rFonts w:cs="Open Sans"/>
                <w:color w:val="000000"/>
                <w:lang w:eastAsia="en-GB"/>
              </w:rPr>
              <w:t>A</w:t>
            </w:r>
            <w:r w:rsidRPr="00A31507">
              <w:rPr>
                <w:rFonts w:cs="Open Sans"/>
                <w:color w:val="000000"/>
                <w:lang w:val="el-GR" w:eastAsia="en-GB"/>
              </w:rPr>
              <w:t>-</w:t>
            </w:r>
            <w:r w:rsidRPr="00A31507">
              <w:rPr>
                <w:rFonts w:cs="Open Sans"/>
                <w:color w:val="000000"/>
                <w:lang w:eastAsia="en-GB"/>
              </w:rPr>
              <w:t>purification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. Να μπορεί ταυτόχρονα να εκτελεστεί για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εως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και 24 δείγματα. 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Συσκευ</w:t>
            </w:r>
            <w:proofErr w:type="spellEnd"/>
            <w:r w:rsidRPr="00A31507">
              <w:rPr>
                <w:rFonts w:cs="Open Sans"/>
                <w:color w:val="000000"/>
                <w:lang w:eastAsia="en-GB"/>
              </w:rPr>
              <w:t xml:space="preserve">ασία 50 tests. 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eastAsia="en-GB"/>
              </w:rPr>
            </w:pPr>
          </w:p>
        </w:tc>
      </w:tr>
      <w:tr w:rsidR="0087448D" w:rsidRPr="008C640C" w:rsidTr="003A6119">
        <w:trPr>
          <w:trHeight w:val="1215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lastRenderedPageBreak/>
              <w:t>13</w:t>
            </w:r>
          </w:p>
        </w:tc>
        <w:tc>
          <w:tcPr>
            <w:tcW w:w="2495" w:type="pct"/>
            <w:shd w:val="clear" w:color="auto" w:fill="auto"/>
            <w:vAlign w:val="bottom"/>
            <w:hideMark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val="el-GR" w:eastAsia="en-GB"/>
              </w:rPr>
            </w:pPr>
            <w:r w:rsidRPr="00A31507">
              <w:rPr>
                <w:rFonts w:cs="Open Sans"/>
                <w:color w:val="000000"/>
                <w:lang w:val="el-GR" w:eastAsia="en-GB"/>
              </w:rPr>
              <w:t xml:space="preserve">Αντιδραστήριο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διαμόλυνσης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Open Sans"/>
                <w:color w:val="000000"/>
                <w:lang w:eastAsia="en-GB"/>
              </w:rPr>
              <w:t>DNA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ή 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siRNA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. 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Ιδ</w:t>
            </w:r>
            <w:proofErr w:type="spellEnd"/>
            <w:r w:rsidRPr="00A31507">
              <w:rPr>
                <w:rFonts w:cs="Open Sans"/>
                <w:color w:val="000000"/>
                <w:lang w:eastAsia="en-GB"/>
              </w:rPr>
              <w:t xml:space="preserve">ανικό 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γι</w:t>
            </w:r>
            <w:proofErr w:type="spellEnd"/>
            <w:r w:rsidRPr="00A31507">
              <w:rPr>
                <w:rFonts w:cs="Open Sans"/>
                <w:color w:val="000000"/>
                <w:lang w:eastAsia="en-GB"/>
              </w:rPr>
              <w:t>α co-transfection DNA/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siRNA</w:t>
            </w:r>
            <w:proofErr w:type="spellEnd"/>
            <w:r w:rsidRPr="00A31507">
              <w:rPr>
                <w:rFonts w:cs="Open Sans"/>
                <w:color w:val="000000"/>
                <w:lang w:eastAsia="en-GB"/>
              </w:rPr>
              <w:t xml:space="preserve">. 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Να μπορεί να πραγματοποιήσει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εως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και 1500 αντιδράσεις σε 24-</w:t>
            </w:r>
            <w:r w:rsidRPr="00A31507">
              <w:rPr>
                <w:rFonts w:cs="Open Sans"/>
                <w:color w:val="000000"/>
                <w:lang w:eastAsia="en-GB"/>
              </w:rPr>
              <w:t>well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Open Sans"/>
                <w:color w:val="000000"/>
                <w:lang w:eastAsia="en-GB"/>
              </w:rPr>
              <w:t>plates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ή 375 αντιδράσεις σε 6 </w:t>
            </w:r>
            <w:r w:rsidRPr="00A31507">
              <w:rPr>
                <w:rFonts w:cs="Open Sans"/>
                <w:color w:val="000000"/>
                <w:lang w:eastAsia="en-GB"/>
              </w:rPr>
              <w:t>well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Open Sans"/>
                <w:color w:val="000000"/>
                <w:lang w:eastAsia="en-GB"/>
              </w:rPr>
              <w:t>plates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. Κάθε παρτίδα να ελέγχεται πριν την απελευθέρωσή της σε κυτταρική σειρά 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HeLa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και να παραδίδεται με πιστοποιητικό ανάλυσης. Να μπορεί να αποθηκευτεί τουλάχιστον για 1 χρόνο. Σε συσκευασία του 1.5</w:t>
            </w:r>
            <w:r w:rsidRPr="00A31507">
              <w:rPr>
                <w:rFonts w:cs="Open Sans"/>
                <w:color w:val="000000"/>
                <w:lang w:eastAsia="en-GB"/>
              </w:rPr>
              <w:t>ml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που να συνοδεύεται </w:t>
            </w:r>
            <w:proofErr w:type="spellStart"/>
            <w:r w:rsidRPr="00A31507">
              <w:rPr>
                <w:rFonts w:cs="Open Sans"/>
                <w:color w:val="000000"/>
                <w:lang w:val="el-GR" w:eastAsia="en-GB"/>
              </w:rPr>
              <w:t>απο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 2*60</w:t>
            </w:r>
            <w:r w:rsidRPr="00A31507">
              <w:rPr>
                <w:rFonts w:cs="Open Sans"/>
                <w:color w:val="000000"/>
                <w:lang w:eastAsia="en-GB"/>
              </w:rPr>
              <w:t>ml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κατάλληλου </w:t>
            </w:r>
            <w:r w:rsidRPr="00A31507">
              <w:rPr>
                <w:rFonts w:cs="Open Sans"/>
                <w:color w:val="000000"/>
                <w:lang w:eastAsia="en-GB"/>
              </w:rPr>
              <w:t>buffer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. 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val="el-GR" w:eastAsia="en-GB"/>
              </w:rPr>
            </w:pPr>
          </w:p>
        </w:tc>
      </w:tr>
      <w:tr w:rsidR="0087448D" w:rsidRPr="007B2B70" w:rsidTr="003A6119">
        <w:trPr>
          <w:trHeight w:val="72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14</w:t>
            </w:r>
          </w:p>
        </w:tc>
        <w:tc>
          <w:tcPr>
            <w:tcW w:w="2495" w:type="pct"/>
            <w:shd w:val="clear" w:color="auto" w:fill="auto"/>
            <w:vAlign w:val="bottom"/>
            <w:hideMark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eastAsia="en-GB"/>
              </w:rPr>
            </w:pPr>
            <w:r w:rsidRPr="00A31507">
              <w:rPr>
                <w:rFonts w:cs="Open Sans"/>
                <w:color w:val="000000"/>
                <w:lang w:val="el-GR" w:eastAsia="en-GB"/>
              </w:rPr>
              <w:t xml:space="preserve">Ένζυμο απομάκρυνσης </w:t>
            </w:r>
            <w:r w:rsidRPr="00A31507">
              <w:rPr>
                <w:rFonts w:cs="Open Sans"/>
                <w:color w:val="000000"/>
                <w:lang w:eastAsia="en-GB"/>
              </w:rPr>
              <w:t>DNA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για χρήση με πρωτόκολλά καθαρισμού </w:t>
            </w:r>
            <w:r w:rsidRPr="00A31507">
              <w:rPr>
                <w:rFonts w:cs="Open Sans"/>
                <w:color w:val="000000"/>
                <w:lang w:eastAsia="en-GB"/>
              </w:rPr>
              <w:t>RNA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σε στήλες </w:t>
            </w:r>
            <w:r w:rsidRPr="00A31507">
              <w:rPr>
                <w:rFonts w:cs="Open Sans"/>
                <w:color w:val="000000"/>
                <w:lang w:eastAsia="en-GB"/>
              </w:rPr>
              <w:t>silica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HiBind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 xml:space="preserve">. Να είναι ελεύθερο από 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Rnases</w:t>
            </w:r>
            <w:proofErr w:type="spellEnd"/>
            <w:r w:rsidRPr="00A31507">
              <w:rPr>
                <w:rFonts w:cs="Open Sans"/>
                <w:color w:val="000000"/>
                <w:lang w:val="el-GR" w:eastAsia="en-GB"/>
              </w:rPr>
              <w:t>. Να έχει συγκέντρωση 20</w:t>
            </w:r>
            <w:r w:rsidRPr="00A31507">
              <w:rPr>
                <w:rFonts w:cs="Open Sans"/>
                <w:color w:val="000000"/>
                <w:lang w:eastAsia="en-GB"/>
              </w:rPr>
              <w:t>K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 </w:t>
            </w:r>
            <w:r w:rsidRPr="00A31507">
              <w:rPr>
                <w:rFonts w:cs="Open Sans"/>
                <w:color w:val="000000"/>
                <w:lang w:eastAsia="en-GB"/>
              </w:rPr>
              <w:t>unit</w:t>
            </w:r>
            <w:r w:rsidRPr="00A31507">
              <w:rPr>
                <w:rFonts w:cs="Open Sans"/>
                <w:color w:val="000000"/>
                <w:lang w:val="el-GR" w:eastAsia="en-GB"/>
              </w:rPr>
              <w:t>/μ</w:t>
            </w:r>
            <w:r w:rsidRPr="00A31507">
              <w:rPr>
                <w:rFonts w:cs="Open Sans"/>
                <w:color w:val="000000"/>
                <w:lang w:eastAsia="en-GB"/>
              </w:rPr>
              <w:t>L</w:t>
            </w:r>
            <w:r w:rsidRPr="00A31507">
              <w:rPr>
                <w:rFonts w:cs="Open Sans"/>
                <w:color w:val="000000"/>
                <w:lang w:val="el-GR" w:eastAsia="en-GB"/>
              </w:rPr>
              <w:t xml:space="preserve">. </w:t>
            </w:r>
            <w:proofErr w:type="spellStart"/>
            <w:r w:rsidRPr="00A31507">
              <w:rPr>
                <w:rFonts w:cs="Open Sans"/>
                <w:color w:val="000000"/>
                <w:lang w:eastAsia="en-GB"/>
              </w:rPr>
              <w:t>Συσκευ</w:t>
            </w:r>
            <w:proofErr w:type="spellEnd"/>
            <w:r w:rsidRPr="00A31507">
              <w:rPr>
                <w:rFonts w:cs="Open Sans"/>
                <w:color w:val="000000"/>
                <w:lang w:eastAsia="en-GB"/>
              </w:rPr>
              <w:t>ασία 6000 Unit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rPr>
                <w:rFonts w:cs="Open Sans"/>
                <w:color w:val="000000"/>
                <w:lang w:val="el-GR"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 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  <w:r w:rsidRPr="00A31507">
              <w:rPr>
                <w:rFonts w:cs="Times New Roman"/>
                <w:lang w:eastAsia="en-GB"/>
              </w:rPr>
              <w:t> 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</w:p>
        </w:tc>
        <w:tc>
          <w:tcPr>
            <w:tcW w:w="2495" w:type="pct"/>
            <w:shd w:val="clear" w:color="auto" w:fill="auto"/>
            <w:vAlign w:val="center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</w:p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88532A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  <w:r>
              <w:rPr>
                <w:rFonts w:cs="Times New Roman"/>
                <w:b/>
                <w:bCs/>
                <w:color w:val="000000"/>
                <w:lang w:val="el-GR" w:eastAsia="en-GB"/>
              </w:rPr>
              <w:t>Μεμονωμένα προϊόντα</w:t>
            </w:r>
          </w:p>
        </w:tc>
        <w:tc>
          <w:tcPr>
            <w:tcW w:w="503" w:type="pct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</w:p>
        </w:tc>
        <w:tc>
          <w:tcPr>
            <w:tcW w:w="562" w:type="pct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val="el-GR" w:eastAsia="en-GB"/>
              </w:rPr>
            </w:pPr>
          </w:p>
        </w:tc>
      </w:tr>
      <w:tr w:rsidR="0087448D" w:rsidRPr="007B2B70" w:rsidTr="003A6119">
        <w:trPr>
          <w:trHeight w:val="600"/>
          <w:jc w:val="center"/>
        </w:trPr>
        <w:tc>
          <w:tcPr>
            <w:tcW w:w="293" w:type="pct"/>
            <w:shd w:val="clear" w:color="000000" w:fill="FCD5B4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lang w:eastAsia="en-GB"/>
              </w:rPr>
            </w:pPr>
            <w:r w:rsidRPr="00A31507">
              <w:rPr>
                <w:rFonts w:cs="Times New Roman"/>
                <w:b/>
                <w:bCs/>
                <w:color w:val="000000"/>
                <w:lang w:eastAsia="en-GB"/>
              </w:rPr>
              <w:t>A/A</w:t>
            </w:r>
          </w:p>
        </w:tc>
        <w:tc>
          <w:tcPr>
            <w:tcW w:w="2495" w:type="pct"/>
            <w:shd w:val="clear" w:color="000000" w:fill="FCD5B4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  <w:proofErr w:type="spellStart"/>
            <w:r w:rsidRPr="00A31507">
              <w:rPr>
                <w:rFonts w:cs="Times New Roman"/>
                <w:b/>
                <w:bCs/>
                <w:lang w:eastAsia="en-GB"/>
              </w:rPr>
              <w:t>Τεχνικά</w:t>
            </w:r>
            <w:proofErr w:type="spellEnd"/>
            <w:r w:rsidRPr="00A31507">
              <w:rPr>
                <w:rFonts w:cs="Times New Roman"/>
                <w:b/>
                <w:bCs/>
                <w:lang w:eastAsia="en-GB"/>
              </w:rPr>
              <w:t xml:space="preserve"> χαρα</w:t>
            </w:r>
            <w:proofErr w:type="spellStart"/>
            <w:r w:rsidRPr="00A31507">
              <w:rPr>
                <w:rFonts w:cs="Times New Roman"/>
                <w:b/>
                <w:bCs/>
                <w:lang w:eastAsia="en-GB"/>
              </w:rPr>
              <w:t>κτηριστικά</w:t>
            </w:r>
            <w:proofErr w:type="spellEnd"/>
          </w:p>
        </w:tc>
        <w:tc>
          <w:tcPr>
            <w:tcW w:w="503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</w:p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 xml:space="preserve">ΝΑΙ </w:t>
            </w:r>
          </w:p>
        </w:tc>
        <w:tc>
          <w:tcPr>
            <w:tcW w:w="562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</w:p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ΟΧΙ</w:t>
            </w:r>
          </w:p>
        </w:tc>
        <w:tc>
          <w:tcPr>
            <w:tcW w:w="1146" w:type="pct"/>
            <w:shd w:val="clear" w:color="000000" w:fill="FCD5B4"/>
          </w:tcPr>
          <w:p w:rsidR="0087448D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eastAsia="en-GB"/>
              </w:rPr>
            </w:pPr>
          </w:p>
          <w:p w:rsidR="0087448D" w:rsidRPr="006C63FE" w:rsidRDefault="0087448D" w:rsidP="003A6119">
            <w:pPr>
              <w:spacing w:after="0"/>
              <w:jc w:val="center"/>
              <w:rPr>
                <w:rFonts w:cs="Times New Roman"/>
                <w:b/>
                <w:bCs/>
                <w:lang w:val="el-GR" w:eastAsia="en-GB"/>
              </w:rPr>
            </w:pPr>
            <w:r>
              <w:rPr>
                <w:rFonts w:cs="Times New Roman"/>
                <w:b/>
                <w:bCs/>
                <w:lang w:val="el-GR" w:eastAsia="en-GB"/>
              </w:rPr>
              <w:t>ΠΑΡΑΠΟΜΠΗ</w:t>
            </w:r>
          </w:p>
        </w:tc>
      </w:tr>
      <w:tr w:rsidR="0087448D" w:rsidRPr="008C640C" w:rsidTr="003A6119">
        <w:trPr>
          <w:trHeight w:val="39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15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val="el-GR" w:eastAsia="en-GB"/>
              </w:rPr>
            </w:pPr>
            <w:r w:rsidRPr="00A31507">
              <w:rPr>
                <w:rFonts w:cs="Times New Roman"/>
                <w:lang w:val="el-GR" w:eastAsia="en-GB"/>
              </w:rPr>
              <w:t>Επαναχρησιμοποιούμενη κασέτα εργαστηριακής διήθησης για συμπύκνωση δειγμάτων μέχρι 5</w:t>
            </w:r>
            <w:r w:rsidRPr="00A31507">
              <w:rPr>
                <w:rFonts w:cs="Times New Roman"/>
                <w:lang w:eastAsia="en-GB"/>
              </w:rPr>
              <w:t>L</w:t>
            </w:r>
            <w:r w:rsidRPr="00A31507">
              <w:rPr>
                <w:rFonts w:cs="Times New Roman"/>
                <w:lang w:val="el-GR" w:eastAsia="en-GB"/>
              </w:rPr>
              <w:t>.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Να έχει επιφάνεια μεμβράνης </w:t>
            </w:r>
            <w:r w:rsidRPr="00A31507">
              <w:rPr>
                <w:rFonts w:cs="Times New Roman"/>
                <w:lang w:eastAsia="en-GB"/>
              </w:rPr>
              <w:t>PES</w:t>
            </w:r>
            <w:r w:rsidRPr="00A31507">
              <w:rPr>
                <w:rFonts w:cs="Times New Roman"/>
                <w:lang w:val="el-GR" w:eastAsia="en-GB"/>
              </w:rPr>
              <w:t xml:space="preserve">, 200 </w:t>
            </w:r>
            <w:r w:rsidRPr="00A31507">
              <w:rPr>
                <w:rFonts w:cs="Times New Roman"/>
                <w:lang w:eastAsia="en-GB"/>
              </w:rPr>
              <w:t>cm</w:t>
            </w:r>
            <w:r w:rsidRPr="00A31507">
              <w:rPr>
                <w:rFonts w:cs="Times New Roman"/>
                <w:lang w:val="el-GR" w:eastAsia="en-GB"/>
              </w:rPr>
              <w:t xml:space="preserve">² και διατομή καναλιού 0,4 </w:t>
            </w:r>
            <w:r w:rsidRPr="00A31507">
              <w:rPr>
                <w:rFonts w:cs="Times New Roman"/>
                <w:lang w:eastAsia="en-GB"/>
              </w:rPr>
              <w:t>mm</w:t>
            </w:r>
            <w:r w:rsidRPr="00A31507">
              <w:rPr>
                <w:rFonts w:cs="Times New Roman"/>
                <w:lang w:val="el-GR" w:eastAsia="en-GB"/>
              </w:rPr>
              <w:t xml:space="preserve"> επί 10 </w:t>
            </w:r>
            <w:r w:rsidRPr="00A31507">
              <w:rPr>
                <w:rFonts w:cs="Times New Roman"/>
                <w:lang w:eastAsia="en-GB"/>
              </w:rPr>
              <w:t>mm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Να χρησιμοποιείται για συμπύκνωση υπερκείμενου κυτταρικής καλλιέργειας και ιών. 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Η συσκευασία να έρχεται με όλα τα απαραίτητα περιφερειακά για σύνδεση με εργαστηριακή αντλία </w:t>
            </w:r>
            <w:r w:rsidRPr="00A31507">
              <w:rPr>
                <w:rFonts w:cs="Times New Roman"/>
                <w:lang w:val="el-GR" w:eastAsia="en-GB"/>
              </w:rPr>
              <w:br/>
              <w:t>Για ταχύτερη συμπύκνωση να μπορούνε να συνδεθούνε 2 μονάδες ταυτόχρονα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Μια μονάδα να μπορεί να συμπυκνώσει δείγμα 1 </w:t>
            </w:r>
            <w:r w:rsidRPr="00A31507">
              <w:rPr>
                <w:rFonts w:cs="Times New Roman"/>
                <w:lang w:eastAsia="en-GB"/>
              </w:rPr>
              <w:t>L</w:t>
            </w:r>
            <w:r w:rsidRPr="00A31507">
              <w:rPr>
                <w:rFonts w:cs="Times New Roman"/>
                <w:lang w:val="el-GR" w:eastAsia="en-GB"/>
              </w:rPr>
              <w:t xml:space="preserve"> 50 φορές σε 30 λεπτά.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Δύο παράλληλες μονάδες να μπορούνε αντίστοιχα να συμπυκνώσουν 5 </w:t>
            </w:r>
            <w:r w:rsidRPr="00A31507">
              <w:rPr>
                <w:rFonts w:cs="Times New Roman"/>
                <w:lang w:eastAsia="en-GB"/>
              </w:rPr>
              <w:t>L</w:t>
            </w:r>
            <w:r w:rsidRPr="00A31507">
              <w:rPr>
                <w:rFonts w:cs="Times New Roman"/>
                <w:lang w:val="el-GR" w:eastAsia="en-GB"/>
              </w:rPr>
              <w:t xml:space="preserve"> σε 75 λεπτά.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Η επανάκτηση του συμπυκνώματος να μπορεί να επιτευχθεί με μία μόνο τελική </w:t>
            </w:r>
            <w:proofErr w:type="spellStart"/>
            <w:r w:rsidRPr="00A31507">
              <w:rPr>
                <w:rFonts w:cs="Times New Roman"/>
                <w:lang w:val="el-GR" w:eastAsia="en-GB"/>
              </w:rPr>
              <w:t>έκπλυση</w:t>
            </w:r>
            <w:proofErr w:type="spellEnd"/>
            <w:r w:rsidRPr="00A31507">
              <w:rPr>
                <w:rFonts w:cs="Times New Roman"/>
                <w:lang w:val="el-GR" w:eastAsia="en-GB"/>
              </w:rPr>
              <w:t>.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Το όλο σύστημα να μπορεί να συνδεθεί με ρεζερβουάρ 500 </w:t>
            </w:r>
            <w:r w:rsidRPr="00A31507">
              <w:rPr>
                <w:rFonts w:cs="Times New Roman"/>
                <w:lang w:eastAsia="en-GB"/>
              </w:rPr>
              <w:t>ml</w:t>
            </w:r>
            <w:r w:rsidRPr="00A31507">
              <w:rPr>
                <w:rFonts w:cs="Times New Roman"/>
                <w:lang w:val="el-GR" w:eastAsia="en-GB"/>
              </w:rPr>
              <w:t xml:space="preserve"> για ταχεία ροή του </w:t>
            </w:r>
            <w:r w:rsidRPr="00A31507">
              <w:rPr>
                <w:rFonts w:cs="Times New Roman"/>
                <w:lang w:val="el-GR" w:eastAsia="en-GB"/>
              </w:rPr>
              <w:lastRenderedPageBreak/>
              <w:t xml:space="preserve">κατάλληλου </w:t>
            </w:r>
            <w:proofErr w:type="spellStart"/>
            <w:r w:rsidRPr="00A31507">
              <w:rPr>
                <w:rFonts w:cs="Times New Roman"/>
                <w:lang w:val="el-GR" w:eastAsia="en-GB"/>
              </w:rPr>
              <w:t>ανα</w:t>
            </w:r>
            <w:proofErr w:type="spellEnd"/>
            <w:r w:rsidRPr="00A31507">
              <w:rPr>
                <w:rFonts w:cs="Times New Roman"/>
                <w:lang w:val="el-GR" w:eastAsia="en-GB"/>
              </w:rPr>
              <w:t xml:space="preserve"> χρήση </w:t>
            </w:r>
            <w:r w:rsidRPr="00A31507">
              <w:rPr>
                <w:rFonts w:cs="Times New Roman"/>
                <w:lang w:eastAsia="en-GB"/>
              </w:rPr>
              <w:t>buffer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Να έχει δείκτη </w:t>
            </w:r>
            <w:r w:rsidRPr="00A31507">
              <w:rPr>
                <w:rFonts w:cs="Times New Roman"/>
                <w:lang w:eastAsia="en-GB"/>
              </w:rPr>
              <w:t>MWCO</w:t>
            </w:r>
            <w:r w:rsidRPr="00A31507">
              <w:rPr>
                <w:rFonts w:cs="Times New Roman"/>
                <w:lang w:val="el-GR" w:eastAsia="en-GB"/>
              </w:rPr>
              <w:t xml:space="preserve"> 10 </w:t>
            </w:r>
            <w:r w:rsidRPr="00A31507">
              <w:rPr>
                <w:rFonts w:cs="Times New Roman"/>
                <w:lang w:eastAsia="en-GB"/>
              </w:rPr>
              <w:t>K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Να έχει ελάχιστο </w:t>
            </w:r>
            <w:proofErr w:type="spellStart"/>
            <w:r w:rsidRPr="00A31507">
              <w:rPr>
                <w:rFonts w:cs="Times New Roman"/>
                <w:lang w:val="el-GR" w:eastAsia="en-GB"/>
              </w:rPr>
              <w:t>επανακυκλοφορούντα</w:t>
            </w:r>
            <w:proofErr w:type="spellEnd"/>
            <w:r w:rsidRPr="00A31507">
              <w:rPr>
                <w:rFonts w:cs="Times New Roman"/>
                <w:lang w:val="el-GR" w:eastAsia="en-GB"/>
              </w:rPr>
              <w:t xml:space="preserve"> όγκο &lt; 20 </w:t>
            </w:r>
            <w:r w:rsidRPr="00A31507">
              <w:rPr>
                <w:rFonts w:cs="Times New Roman"/>
                <w:lang w:eastAsia="en-GB"/>
              </w:rPr>
              <w:t>mL</w:t>
            </w:r>
            <w:r w:rsidRPr="00A31507">
              <w:rPr>
                <w:rFonts w:cs="Times New Roman"/>
                <w:lang w:val="el-GR" w:eastAsia="en-GB"/>
              </w:rPr>
              <w:br/>
              <w:t xml:space="preserve">Δυνατότητα χρήσης όγκου δείγματος 500 – 5,000 </w:t>
            </w:r>
            <w:r w:rsidRPr="00A31507">
              <w:rPr>
                <w:rFonts w:cs="Times New Roman"/>
                <w:lang w:eastAsia="en-GB"/>
              </w:rPr>
              <w:t>mL</w:t>
            </w:r>
            <w:r w:rsidRPr="00A31507">
              <w:rPr>
                <w:rFonts w:cs="Times New Roman"/>
                <w:lang w:val="el-GR" w:eastAsia="en-GB"/>
              </w:rPr>
              <w:t xml:space="preserve"> και ροή 500 – 5,000 </w:t>
            </w:r>
            <w:r w:rsidRPr="00A31507">
              <w:rPr>
                <w:rFonts w:cs="Times New Roman"/>
                <w:lang w:eastAsia="en-GB"/>
              </w:rPr>
              <w:t>mL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left"/>
              <w:rPr>
                <w:rFonts w:cs="Times New Roman"/>
                <w:lang w:val="el-GR" w:eastAsia="en-GB"/>
              </w:rPr>
            </w:pPr>
          </w:p>
        </w:tc>
      </w:tr>
      <w:tr w:rsidR="0087448D" w:rsidRPr="007B2B70" w:rsidTr="003A6119">
        <w:trPr>
          <w:trHeight w:val="9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lastRenderedPageBreak/>
              <w:t>16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ind w:firstLineChars="200" w:firstLine="440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val="el-GR" w:eastAsia="en-GB"/>
              </w:rPr>
              <w:t>Ραδιοϊσότοπο Ιώδιο-125. Ειδική δραστικότητα: ~17</w:t>
            </w:r>
            <w:r w:rsidRPr="00A31507">
              <w:rPr>
                <w:rFonts w:cs="Times New Roman"/>
                <w:color w:val="000000"/>
                <w:lang w:eastAsia="en-GB"/>
              </w:rPr>
              <w:t>Ci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>/</w:t>
            </w:r>
            <w:r w:rsidRPr="00A31507">
              <w:rPr>
                <w:rFonts w:cs="Times New Roman"/>
                <w:color w:val="000000"/>
                <w:lang w:eastAsia="en-GB"/>
              </w:rPr>
              <w:t>mg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 xml:space="preserve">. Χρήση για σήμανση πεπτιδίων και πρωτεϊνών μέσω </w:t>
            </w:r>
            <w:proofErr w:type="spellStart"/>
            <w:r w:rsidRPr="00A31507">
              <w:rPr>
                <w:rFonts w:cs="Times New Roman"/>
                <w:color w:val="000000"/>
                <w:lang w:val="el-GR" w:eastAsia="en-GB"/>
              </w:rPr>
              <w:t>ραδιομετρικής</w:t>
            </w:r>
            <w:proofErr w:type="spellEnd"/>
            <w:r w:rsidRPr="00A31507">
              <w:rPr>
                <w:rFonts w:cs="Times New Roman"/>
                <w:color w:val="000000"/>
                <w:lang w:val="el-GR" w:eastAsia="en-GB"/>
              </w:rPr>
              <w:t xml:space="preserve"> μεθόδου ανίχνευσης. 10^-5</w:t>
            </w:r>
            <w:r w:rsidRPr="00A31507">
              <w:rPr>
                <w:rFonts w:cs="Times New Roman"/>
                <w:color w:val="000000"/>
                <w:lang w:eastAsia="en-GB"/>
              </w:rPr>
              <w:t>M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NaOH</w:t>
            </w:r>
            <w:proofErr w:type="spellEnd"/>
            <w:r w:rsidRPr="00A31507">
              <w:rPr>
                <w:rFonts w:cs="Times New Roman"/>
                <w:color w:val="000000"/>
                <w:lang w:val="el-GR" w:eastAsia="en-GB"/>
              </w:rPr>
              <w:t xml:space="preserve"> (</w:t>
            </w:r>
            <w:r w:rsidRPr="00A31507">
              <w:rPr>
                <w:rFonts w:cs="Times New Roman"/>
                <w:color w:val="000000"/>
                <w:lang w:eastAsia="en-GB"/>
              </w:rPr>
              <w:t>pH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 xml:space="preserve"> 8-11). Ιωδιούχο νάτριο σε </w:t>
            </w:r>
            <w:r w:rsidRPr="00A31507">
              <w:rPr>
                <w:rFonts w:cs="Times New Roman"/>
                <w:color w:val="000000"/>
                <w:lang w:eastAsia="en-GB"/>
              </w:rPr>
              <w:t>PH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 xml:space="preserve">10 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NaOH</w:t>
            </w:r>
            <w:proofErr w:type="spellEnd"/>
            <w:r w:rsidRPr="00A31507">
              <w:rPr>
                <w:rFonts w:cs="Times New Roman"/>
                <w:color w:val="000000"/>
                <w:lang w:val="el-GR" w:eastAsia="en-GB"/>
              </w:rPr>
              <w:t xml:space="preserve"> ~ 17</w:t>
            </w:r>
            <w:r w:rsidRPr="00A31507">
              <w:rPr>
                <w:rFonts w:cs="Times New Roman"/>
                <w:color w:val="000000"/>
                <w:lang w:eastAsia="en-GB"/>
              </w:rPr>
              <w:t>Ci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 xml:space="preserve"> (629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GBq</w:t>
            </w:r>
            <w:proofErr w:type="spellEnd"/>
            <w:r w:rsidRPr="00A31507">
              <w:rPr>
                <w:rFonts w:cs="Times New Roman"/>
                <w:color w:val="000000"/>
                <w:lang w:val="el-GR" w:eastAsia="en-GB"/>
              </w:rPr>
              <w:t xml:space="preserve">) / </w:t>
            </w:r>
            <w:r w:rsidRPr="00A31507">
              <w:rPr>
                <w:rFonts w:cs="Times New Roman"/>
                <w:color w:val="000000"/>
                <w:lang w:eastAsia="en-GB"/>
              </w:rPr>
              <w:t>mg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 xml:space="preserve">. </w:t>
            </w:r>
            <w:r w:rsidRPr="00A31507">
              <w:rPr>
                <w:rFonts w:cs="Times New Roman"/>
                <w:color w:val="000000"/>
                <w:lang w:eastAsia="en-GB"/>
              </w:rPr>
              <w:t xml:space="preserve">Unit size: 5 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mCi</w:t>
            </w:r>
            <w:proofErr w:type="spellEnd"/>
            <w:r w:rsidRPr="00A31507">
              <w:rPr>
                <w:rFonts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Χρόνος</w:t>
            </w:r>
            <w:proofErr w:type="spellEnd"/>
            <w:r w:rsidRPr="00A31507">
              <w:rPr>
                <w:rFonts w:cs="Times New Roman"/>
                <w:color w:val="000000"/>
                <w:lang w:eastAsia="en-GB"/>
              </w:rPr>
              <w:t xml:space="preserve"> 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ημιζωής</w:t>
            </w:r>
            <w:proofErr w:type="spellEnd"/>
            <w:r w:rsidRPr="00A31507">
              <w:rPr>
                <w:rFonts w:cs="Times New Roman"/>
                <w:color w:val="000000"/>
                <w:lang w:eastAsia="en-GB"/>
              </w:rPr>
              <w:t xml:space="preserve">: 60.14 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ημέρες</w:t>
            </w:r>
            <w:proofErr w:type="spellEnd"/>
            <w:r w:rsidRPr="00A31507">
              <w:rPr>
                <w:rFonts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ind w:firstLineChars="200" w:firstLine="440"/>
              <w:rPr>
                <w:rFonts w:cs="Times New Roman"/>
                <w:color w:val="000000"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ind w:firstLineChars="200" w:firstLine="440"/>
              <w:rPr>
                <w:rFonts w:cs="Times New Roman"/>
                <w:color w:val="000000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ind w:firstLineChars="200" w:firstLine="440"/>
              <w:rPr>
                <w:rFonts w:cs="Times New Roman"/>
                <w:color w:val="000000"/>
                <w:lang w:val="el-GR" w:eastAsia="en-GB"/>
              </w:rPr>
            </w:pPr>
          </w:p>
        </w:tc>
      </w:tr>
      <w:tr w:rsidR="0087448D" w:rsidRPr="007B2B70" w:rsidTr="003A6119">
        <w:trPr>
          <w:trHeight w:val="6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17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ind w:firstLineChars="200" w:firstLine="440"/>
              <w:rPr>
                <w:rFonts w:cs="Times New Roman"/>
                <w:color w:val="000000"/>
                <w:lang w:eastAsia="en-GB"/>
              </w:rPr>
            </w:pPr>
            <w:proofErr w:type="spellStart"/>
            <w:r w:rsidRPr="00A31507">
              <w:rPr>
                <w:rFonts w:cs="Times New Roman"/>
                <w:color w:val="000000"/>
                <w:lang w:val="el-GR" w:eastAsia="en-GB"/>
              </w:rPr>
              <w:t>Θυμιδίνη</w:t>
            </w:r>
            <w:proofErr w:type="spellEnd"/>
            <w:r w:rsidRPr="00A31507">
              <w:rPr>
                <w:rFonts w:cs="Times New Roman"/>
                <w:color w:val="000000"/>
                <w:lang w:val="el-GR" w:eastAsia="en-GB"/>
              </w:rPr>
              <w:t xml:space="preserve"> με Ραδιοϊσότοπο </w:t>
            </w:r>
            <w:r w:rsidRPr="00A31507">
              <w:rPr>
                <w:rFonts w:cs="Times New Roman"/>
                <w:color w:val="000000"/>
                <w:lang w:eastAsia="en-GB"/>
              </w:rPr>
              <w:t>H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 xml:space="preserve">-3. Ειδική δραστικότητα: 20 </w:t>
            </w:r>
            <w:r w:rsidRPr="00A31507">
              <w:rPr>
                <w:rFonts w:cs="Times New Roman"/>
                <w:color w:val="000000"/>
                <w:lang w:eastAsia="en-GB"/>
              </w:rPr>
              <w:t>Ci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>/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mmol</w:t>
            </w:r>
            <w:proofErr w:type="spellEnd"/>
            <w:r w:rsidRPr="00A31507">
              <w:rPr>
                <w:rFonts w:cs="Times New Roman"/>
                <w:color w:val="000000"/>
                <w:lang w:val="el-GR" w:eastAsia="en-GB"/>
              </w:rPr>
              <w:t xml:space="preserve">. Υδατικό διάλυμα. Χρήση για σήμανση </w:t>
            </w:r>
            <w:r w:rsidRPr="00A31507">
              <w:rPr>
                <w:rFonts w:cs="Times New Roman"/>
                <w:color w:val="000000"/>
                <w:lang w:eastAsia="en-GB"/>
              </w:rPr>
              <w:t>DNA</w:t>
            </w:r>
            <w:r w:rsidRPr="00A31507">
              <w:rPr>
                <w:rFonts w:cs="Times New Roman"/>
                <w:color w:val="000000"/>
                <w:lang w:val="el-GR" w:eastAsia="en-GB"/>
              </w:rPr>
              <w:t xml:space="preserve"> μορίων σε πρωτόκολλα πολλαπλασιασμού κυττάρων. </w:t>
            </w:r>
            <w:r w:rsidRPr="00A31507">
              <w:rPr>
                <w:rFonts w:cs="Times New Roman"/>
                <w:color w:val="000000"/>
                <w:lang w:eastAsia="en-GB"/>
              </w:rPr>
              <w:t xml:space="preserve">Unit size: 5 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mCi</w:t>
            </w:r>
            <w:proofErr w:type="spellEnd"/>
            <w:r w:rsidRPr="00A31507">
              <w:rPr>
                <w:rFonts w:cs="Times New Roman"/>
                <w:color w:val="000000"/>
                <w:lang w:eastAsia="en-GB"/>
              </w:rPr>
              <w:t xml:space="preserve">. 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Μορι</w:t>
            </w:r>
            <w:proofErr w:type="spellEnd"/>
            <w:r w:rsidRPr="00A31507">
              <w:rPr>
                <w:rFonts w:cs="Times New Roman"/>
                <w:color w:val="000000"/>
                <w:lang w:eastAsia="en-GB"/>
              </w:rPr>
              <w:t>ακό β</w:t>
            </w:r>
            <w:proofErr w:type="spellStart"/>
            <w:r w:rsidRPr="00A31507">
              <w:rPr>
                <w:rFonts w:cs="Times New Roman"/>
                <w:color w:val="000000"/>
                <w:lang w:eastAsia="en-GB"/>
              </w:rPr>
              <w:t>άρος</w:t>
            </w:r>
            <w:proofErr w:type="spellEnd"/>
            <w:r w:rsidRPr="00A31507">
              <w:rPr>
                <w:rFonts w:cs="Times New Roman"/>
                <w:color w:val="000000"/>
                <w:lang w:eastAsia="en-GB"/>
              </w:rPr>
              <w:t xml:space="preserve"> 242.2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ind w:firstLineChars="200" w:firstLine="440"/>
              <w:rPr>
                <w:rFonts w:cs="Times New Roman"/>
                <w:color w:val="000000"/>
                <w:lang w:val="el-GR"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ind w:firstLineChars="200" w:firstLine="440"/>
              <w:rPr>
                <w:rFonts w:cs="Times New Roman"/>
                <w:color w:val="000000"/>
                <w:lang w:val="el-GR"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ind w:firstLineChars="200" w:firstLine="440"/>
              <w:rPr>
                <w:rFonts w:cs="Times New Roman"/>
                <w:color w:val="000000"/>
                <w:lang w:val="el-GR" w:eastAsia="en-GB"/>
              </w:rPr>
            </w:pPr>
          </w:p>
        </w:tc>
      </w:tr>
      <w:tr w:rsidR="0087448D" w:rsidRPr="007B2B70" w:rsidTr="003A6119">
        <w:trPr>
          <w:trHeight w:val="300"/>
          <w:jc w:val="center"/>
        </w:trPr>
        <w:tc>
          <w:tcPr>
            <w:tcW w:w="293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color w:val="000000"/>
                <w:lang w:eastAsia="en-GB"/>
              </w:rPr>
            </w:pPr>
            <w:r w:rsidRPr="00A31507">
              <w:rPr>
                <w:rFonts w:cs="Times New Roman"/>
                <w:color w:val="000000"/>
                <w:lang w:eastAsia="en-GB"/>
              </w:rPr>
              <w:t> </w:t>
            </w:r>
          </w:p>
        </w:tc>
        <w:tc>
          <w:tcPr>
            <w:tcW w:w="2495" w:type="pct"/>
            <w:shd w:val="clear" w:color="auto" w:fill="auto"/>
            <w:vAlign w:val="center"/>
            <w:hideMark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  <w:r w:rsidRPr="00A31507">
              <w:rPr>
                <w:rFonts w:cs="Times New Roman"/>
                <w:lang w:eastAsia="en-GB"/>
              </w:rPr>
              <w:t> </w:t>
            </w:r>
          </w:p>
        </w:tc>
        <w:tc>
          <w:tcPr>
            <w:tcW w:w="503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562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  <w:tc>
          <w:tcPr>
            <w:tcW w:w="1146" w:type="pct"/>
          </w:tcPr>
          <w:p w:rsidR="0087448D" w:rsidRPr="00A31507" w:rsidRDefault="0087448D" w:rsidP="003A6119">
            <w:pPr>
              <w:spacing w:after="0"/>
              <w:jc w:val="center"/>
              <w:rPr>
                <w:rFonts w:cs="Times New Roman"/>
                <w:lang w:eastAsia="en-GB"/>
              </w:rPr>
            </w:pPr>
          </w:p>
        </w:tc>
      </w:tr>
    </w:tbl>
    <w:p w:rsidR="0087448D" w:rsidRDefault="0087448D" w:rsidP="0087448D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87448D" w:rsidRDefault="0087448D" w:rsidP="0087448D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87448D" w:rsidRDefault="0087448D" w:rsidP="0087448D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87448D" w:rsidRDefault="0087448D" w:rsidP="0087448D">
      <w:pPr>
        <w:pStyle w:val="normalwithoutspacing"/>
        <w:rPr>
          <w:rFonts w:asciiTheme="minorHAnsi" w:hAnsiTheme="minorHAnsi"/>
          <w:b/>
          <w:szCs w:val="22"/>
          <w:u w:val="single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Default="0087448D" w:rsidP="0087448D">
      <w:pPr>
        <w:rPr>
          <w:rFonts w:asciiTheme="minorHAnsi" w:hAnsiTheme="minorHAnsi"/>
          <w:b/>
          <w:szCs w:val="22"/>
          <w:u w:val="single"/>
          <w:lang w:val="el-GR"/>
        </w:rPr>
      </w:pPr>
    </w:p>
    <w:p w:rsidR="0087448D" w:rsidRPr="00AF47E3" w:rsidRDefault="0087448D" w:rsidP="0087448D">
      <w:pPr>
        <w:widowControl w:val="0"/>
        <w:spacing w:after="200" w:line="360" w:lineRule="auto"/>
        <w:ind w:firstLine="397"/>
        <w:rPr>
          <w:bCs/>
          <w:i/>
          <w:iCs/>
          <w:kern w:val="1"/>
          <w:szCs w:val="22"/>
          <w:lang w:val="el-GR"/>
        </w:rPr>
      </w:pPr>
    </w:p>
    <w:p w:rsidR="0087448D" w:rsidRDefault="0087448D" w:rsidP="0087448D">
      <w:pPr>
        <w:rPr>
          <w:lang w:val="el-GR"/>
        </w:rPr>
      </w:pPr>
      <w:r w:rsidRPr="00AF47E3">
        <w:rPr>
          <w:szCs w:val="22"/>
          <w:lang w:val="el-GR"/>
        </w:rPr>
        <w:br w:type="page"/>
      </w:r>
    </w:p>
    <w:p w:rsidR="00FE1D37" w:rsidRDefault="00FE1D37"/>
    <w:sectPr w:rsidR="00FE1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A1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8D"/>
    <w:rsid w:val="0087448D"/>
    <w:rsid w:val="00E933A5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8405-037C-4D01-9324-68A6E1CB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8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87448D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1245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Maria Apostolaki</cp:lastModifiedBy>
  <cp:revision>2</cp:revision>
  <dcterms:created xsi:type="dcterms:W3CDTF">2021-04-16T08:33:00Z</dcterms:created>
  <dcterms:modified xsi:type="dcterms:W3CDTF">2021-04-16T08:33:00Z</dcterms:modified>
</cp:coreProperties>
</file>