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37" w:rsidRDefault="00FE1D37">
      <w:bookmarkStart w:id="0" w:name="_GoBack"/>
      <w:bookmarkEnd w:id="0"/>
    </w:p>
    <w:p w:rsidR="004115F7" w:rsidRDefault="004115F7" w:rsidP="004115F7">
      <w:pPr>
        <w:pStyle w:val="normalwithoutspacing"/>
        <w:rPr>
          <w:rFonts w:asciiTheme="minorHAnsi" w:hAnsiTheme="minorHAnsi"/>
          <w:b/>
          <w:szCs w:val="22"/>
          <w:u w:val="single"/>
        </w:rPr>
      </w:pPr>
      <w:r w:rsidRPr="00C53907">
        <w:rPr>
          <w:rFonts w:asciiTheme="minorHAnsi" w:hAnsiTheme="minorHAnsi"/>
          <w:b/>
          <w:szCs w:val="22"/>
          <w:u w:val="single"/>
        </w:rPr>
        <w:t>ΦΥΛΛΟ ΣΥΜΜΟΡΦΩΣΗΣ</w:t>
      </w:r>
    </w:p>
    <w:p w:rsidR="004115F7" w:rsidRDefault="004115F7" w:rsidP="004115F7">
      <w:pPr>
        <w:pStyle w:val="normalwithoutspacing"/>
        <w:rPr>
          <w:rFonts w:asciiTheme="minorHAnsi" w:hAnsiTheme="minorHAnsi"/>
          <w:b/>
          <w:szCs w:val="22"/>
          <w:u w:val="single"/>
        </w:rPr>
      </w:pPr>
    </w:p>
    <w:tbl>
      <w:tblPr>
        <w:tblpPr w:leftFromText="180" w:rightFromText="180" w:vertAnchor="text" w:horzAnchor="margin" w:tblpXSpec="center" w:tblpY="2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846"/>
        <w:gridCol w:w="1073"/>
        <w:gridCol w:w="1109"/>
        <w:gridCol w:w="2341"/>
      </w:tblGrid>
      <w:tr w:rsidR="004115F7" w:rsidRPr="0031709B" w:rsidTr="003A6119">
        <w:trPr>
          <w:trHeight w:val="1279"/>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b/>
                <w:szCs w:val="22"/>
                <w:lang w:eastAsia="en-US"/>
              </w:rPr>
            </w:pPr>
            <w:r w:rsidRPr="0031709B">
              <w:rPr>
                <w:rFonts w:asciiTheme="minorHAnsi" w:eastAsia="Calibri" w:hAnsiTheme="minorHAnsi" w:cstheme="minorHAnsi"/>
                <w:b/>
                <w:szCs w:val="22"/>
                <w:lang w:eastAsia="en-US"/>
              </w:rPr>
              <w:t>Α/Α</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b/>
                <w:szCs w:val="22"/>
                <w:lang w:eastAsia="en-US"/>
              </w:rPr>
            </w:pPr>
            <w:r w:rsidRPr="0031709B">
              <w:rPr>
                <w:rFonts w:asciiTheme="minorHAnsi" w:eastAsia="Calibri" w:hAnsiTheme="minorHAnsi" w:cstheme="minorHAnsi"/>
                <w:b/>
                <w:szCs w:val="22"/>
                <w:lang w:eastAsia="en-US"/>
              </w:rPr>
              <w:t>Τεχνικά Χαρακτηριστικά</w:t>
            </w:r>
          </w:p>
        </w:tc>
        <w:tc>
          <w:tcPr>
            <w:tcW w:w="595" w:type="pct"/>
          </w:tcPr>
          <w:p w:rsidR="004115F7" w:rsidRDefault="004115F7" w:rsidP="003A6119">
            <w:pPr>
              <w:spacing w:line="276" w:lineRule="auto"/>
              <w:jc w:val="center"/>
              <w:rPr>
                <w:rFonts w:asciiTheme="minorHAnsi" w:eastAsia="Calibri" w:hAnsiTheme="minorHAnsi" w:cstheme="minorHAnsi"/>
                <w:b/>
                <w:szCs w:val="22"/>
                <w:lang w:val="el-GR" w:eastAsia="en-US"/>
              </w:rPr>
            </w:pPr>
          </w:p>
          <w:p w:rsidR="004115F7" w:rsidRPr="0031709B" w:rsidRDefault="004115F7" w:rsidP="003A6119">
            <w:pPr>
              <w:spacing w:line="276" w:lineRule="auto"/>
              <w:jc w:val="center"/>
              <w:rPr>
                <w:rFonts w:asciiTheme="minorHAnsi" w:eastAsia="Calibri" w:hAnsiTheme="minorHAnsi" w:cstheme="minorHAnsi"/>
                <w:b/>
                <w:szCs w:val="22"/>
                <w:lang w:val="el-GR" w:eastAsia="en-US"/>
              </w:rPr>
            </w:pPr>
            <w:r>
              <w:rPr>
                <w:rFonts w:asciiTheme="minorHAnsi" w:eastAsia="Calibri" w:hAnsiTheme="minorHAnsi" w:cstheme="minorHAnsi"/>
                <w:b/>
                <w:szCs w:val="22"/>
                <w:lang w:val="el-GR" w:eastAsia="en-US"/>
              </w:rPr>
              <w:t>ΝΑΙ</w:t>
            </w:r>
          </w:p>
        </w:tc>
        <w:tc>
          <w:tcPr>
            <w:tcW w:w="615" w:type="pct"/>
          </w:tcPr>
          <w:p w:rsidR="004115F7" w:rsidRDefault="004115F7" w:rsidP="003A6119">
            <w:pPr>
              <w:spacing w:line="276" w:lineRule="auto"/>
              <w:jc w:val="center"/>
              <w:rPr>
                <w:rFonts w:asciiTheme="minorHAnsi" w:eastAsia="Calibri" w:hAnsiTheme="minorHAnsi" w:cstheme="minorHAnsi"/>
                <w:b/>
                <w:szCs w:val="22"/>
                <w:lang w:val="el-GR" w:eastAsia="en-US"/>
              </w:rPr>
            </w:pPr>
          </w:p>
          <w:p w:rsidR="004115F7" w:rsidRPr="0031709B" w:rsidRDefault="004115F7" w:rsidP="003A6119">
            <w:pPr>
              <w:spacing w:line="276" w:lineRule="auto"/>
              <w:jc w:val="center"/>
              <w:rPr>
                <w:rFonts w:asciiTheme="minorHAnsi" w:eastAsia="Calibri" w:hAnsiTheme="minorHAnsi" w:cstheme="minorHAnsi"/>
                <w:b/>
                <w:szCs w:val="22"/>
                <w:lang w:val="el-GR" w:eastAsia="en-US"/>
              </w:rPr>
            </w:pPr>
            <w:r>
              <w:rPr>
                <w:rFonts w:asciiTheme="minorHAnsi" w:eastAsia="Calibri" w:hAnsiTheme="minorHAnsi" w:cstheme="minorHAnsi"/>
                <w:b/>
                <w:szCs w:val="22"/>
                <w:lang w:val="el-GR" w:eastAsia="en-US"/>
              </w:rPr>
              <w:t>ΟΧΙ</w:t>
            </w:r>
          </w:p>
        </w:tc>
        <w:tc>
          <w:tcPr>
            <w:tcW w:w="1298" w:type="pct"/>
          </w:tcPr>
          <w:p w:rsidR="004115F7" w:rsidRDefault="004115F7" w:rsidP="003A6119">
            <w:pPr>
              <w:spacing w:line="276" w:lineRule="auto"/>
              <w:jc w:val="center"/>
              <w:rPr>
                <w:rFonts w:asciiTheme="minorHAnsi" w:eastAsia="Calibri" w:hAnsiTheme="minorHAnsi" w:cstheme="minorHAnsi"/>
                <w:b/>
                <w:szCs w:val="22"/>
                <w:lang w:val="el-GR" w:eastAsia="en-US"/>
              </w:rPr>
            </w:pPr>
          </w:p>
          <w:p w:rsidR="004115F7" w:rsidRPr="0031709B" w:rsidRDefault="004115F7" w:rsidP="003A6119">
            <w:pPr>
              <w:spacing w:line="276" w:lineRule="auto"/>
              <w:jc w:val="center"/>
              <w:rPr>
                <w:rFonts w:asciiTheme="minorHAnsi" w:eastAsia="Calibri" w:hAnsiTheme="minorHAnsi" w:cstheme="minorHAnsi"/>
                <w:b/>
                <w:szCs w:val="22"/>
                <w:lang w:val="el-GR" w:eastAsia="en-US"/>
              </w:rPr>
            </w:pPr>
            <w:r>
              <w:rPr>
                <w:rFonts w:asciiTheme="minorHAnsi" w:eastAsia="Calibri" w:hAnsiTheme="minorHAnsi" w:cstheme="minorHAnsi"/>
                <w:b/>
                <w:szCs w:val="22"/>
                <w:lang w:val="el-GR" w:eastAsia="en-US"/>
              </w:rPr>
              <w:t>ΠΑΡΑΠΟΜΠΗ</w:t>
            </w:r>
          </w:p>
        </w:tc>
      </w:tr>
      <w:tr w:rsidR="004115F7" w:rsidRPr="003A1B9B" w:rsidTr="003A6119">
        <w:trPr>
          <w:trHeight w:val="848"/>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1</w:t>
            </w:r>
          </w:p>
        </w:tc>
        <w:tc>
          <w:tcPr>
            <w:tcW w:w="2133" w:type="pct"/>
            <w:shd w:val="clear" w:color="auto" w:fill="auto"/>
            <w:vAlign w:val="center"/>
          </w:tcPr>
          <w:p w:rsidR="004115F7" w:rsidRPr="003A1B9B" w:rsidRDefault="004115F7" w:rsidP="003A6119">
            <w:pPr>
              <w:spacing w:line="276" w:lineRule="auto"/>
              <w:jc w:val="center"/>
              <w:rPr>
                <w:rFonts w:asciiTheme="minorHAnsi" w:eastAsia="Calibri" w:hAnsiTheme="minorHAnsi" w:cstheme="minorHAnsi"/>
                <w:szCs w:val="22"/>
                <w:lang w:val="el-GR" w:eastAsia="en-US"/>
              </w:rPr>
            </w:pPr>
            <w:r w:rsidRPr="0031709B">
              <w:rPr>
                <w:rFonts w:asciiTheme="minorHAnsi" w:eastAsia="Calibri" w:hAnsiTheme="minorHAnsi" w:cstheme="minorHAnsi"/>
                <w:szCs w:val="22"/>
                <w:lang w:val="el-GR" w:eastAsia="en-US"/>
              </w:rPr>
              <w:t xml:space="preserve">Κρυσταλλικό Χλωριούχο Νάτριο, κατάλληλο για μοριακή βιολογία, απαλλαγμένο από </w:t>
            </w:r>
            <w:r w:rsidRPr="0031709B">
              <w:rPr>
                <w:rFonts w:asciiTheme="minorHAnsi" w:eastAsia="Calibri" w:hAnsiTheme="minorHAnsi" w:cstheme="minorHAnsi"/>
                <w:szCs w:val="22"/>
                <w:lang w:eastAsia="en-US"/>
              </w:rPr>
              <w:t>DN</w:t>
            </w:r>
            <w:r w:rsidRPr="0031709B">
              <w:rPr>
                <w:rFonts w:asciiTheme="minorHAnsi" w:eastAsia="Calibri" w:hAnsiTheme="minorHAnsi" w:cstheme="minorHAnsi"/>
                <w:szCs w:val="22"/>
                <w:lang w:val="el-GR" w:eastAsia="en-US"/>
              </w:rPr>
              <w:t xml:space="preserve">άσες, </w:t>
            </w:r>
            <w:r w:rsidRPr="0031709B">
              <w:rPr>
                <w:rFonts w:asciiTheme="minorHAnsi" w:eastAsia="Calibri" w:hAnsiTheme="minorHAnsi" w:cstheme="minorHAnsi"/>
                <w:szCs w:val="22"/>
                <w:lang w:eastAsia="en-US"/>
              </w:rPr>
              <w:t>RN</w:t>
            </w:r>
            <w:r w:rsidRPr="0031709B">
              <w:rPr>
                <w:rFonts w:asciiTheme="minorHAnsi" w:eastAsia="Calibri" w:hAnsiTheme="minorHAnsi" w:cstheme="minorHAnsi"/>
                <w:szCs w:val="22"/>
                <w:lang w:val="el-GR" w:eastAsia="en-US"/>
              </w:rPr>
              <w:t xml:space="preserve">άσες και πρωτεάσες, καθαρότητας ≥99% (ογκομετρική ανάλυση). </w:t>
            </w:r>
            <w:r w:rsidRPr="003A1B9B">
              <w:rPr>
                <w:rFonts w:asciiTheme="minorHAnsi" w:eastAsia="Calibri" w:hAnsiTheme="minorHAnsi" w:cstheme="minorHAnsi"/>
                <w:szCs w:val="22"/>
                <w:lang w:val="el-GR" w:eastAsia="en-US"/>
              </w:rPr>
              <w:t xml:space="preserve">Συσκευασία 1 </w:t>
            </w:r>
            <w:r w:rsidRPr="0031709B">
              <w:rPr>
                <w:rFonts w:asciiTheme="minorHAnsi" w:eastAsia="Calibri" w:hAnsiTheme="minorHAnsi" w:cstheme="minorHAnsi"/>
                <w:szCs w:val="22"/>
                <w:lang w:val="en-US" w:eastAsia="en-US"/>
              </w:rPr>
              <w:t>kg</w:t>
            </w:r>
            <w:r w:rsidRPr="003A1B9B">
              <w:rPr>
                <w:rFonts w:asciiTheme="minorHAnsi" w:eastAsia="Calibri" w:hAnsiTheme="minorHAnsi" w:cstheme="minorHAnsi"/>
                <w:szCs w:val="22"/>
                <w:lang w:val="el-GR" w:eastAsia="en-US"/>
              </w:rPr>
              <w:t>.</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31709B" w:rsidTr="003A6119">
        <w:trPr>
          <w:trHeight w:val="1073"/>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2</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Κρυσταλλική βάση Tris (Tris base) Tris(hydroxymethyl)aminomethane, κατάλληλο για πρωταρχικό πρότυπο και παρασκευή ρυθμιστικών διαλυμάτων (Primary Standard and Buffer), καθαρότητας ≥99.9% (ογκομετρική ανάλυση). Συσκευασία 1 kg.</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r>
      <w:tr w:rsidR="004115F7" w:rsidRPr="003A1B9B" w:rsidTr="003A6119">
        <w:trPr>
          <w:trHeight w:val="1017"/>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3</w:t>
            </w:r>
          </w:p>
        </w:tc>
        <w:tc>
          <w:tcPr>
            <w:tcW w:w="2133" w:type="pct"/>
            <w:shd w:val="clear" w:color="auto" w:fill="auto"/>
            <w:vAlign w:val="center"/>
          </w:tcPr>
          <w:p w:rsidR="004115F7" w:rsidRPr="003A1B9B" w:rsidRDefault="004115F7" w:rsidP="003A6119">
            <w:pPr>
              <w:spacing w:line="276" w:lineRule="auto"/>
              <w:jc w:val="center"/>
              <w:rPr>
                <w:rFonts w:asciiTheme="minorHAnsi" w:eastAsia="Calibri" w:hAnsiTheme="minorHAnsi" w:cstheme="minorHAnsi"/>
                <w:szCs w:val="22"/>
                <w:lang w:val="el-GR" w:eastAsia="en-US"/>
              </w:rPr>
            </w:pPr>
            <w:r w:rsidRPr="0031709B">
              <w:rPr>
                <w:rFonts w:asciiTheme="minorHAnsi" w:eastAsia="Calibri" w:hAnsiTheme="minorHAnsi" w:cstheme="minorHAnsi"/>
                <w:szCs w:val="22"/>
                <w:lang w:val="el-GR" w:eastAsia="en-US"/>
              </w:rPr>
              <w:t>Κρυσταλλική σακχαρόζη (</w:t>
            </w:r>
            <w:r w:rsidRPr="0031709B">
              <w:rPr>
                <w:rFonts w:asciiTheme="minorHAnsi" w:eastAsia="Calibri" w:hAnsiTheme="minorHAnsi" w:cstheme="minorHAnsi"/>
                <w:szCs w:val="22"/>
                <w:lang w:eastAsia="en-US"/>
              </w:rPr>
              <w:t>sucrose</w:t>
            </w:r>
            <w:r w:rsidRPr="0031709B">
              <w:rPr>
                <w:rFonts w:asciiTheme="minorHAnsi" w:eastAsia="Calibri" w:hAnsiTheme="minorHAnsi" w:cstheme="minorHAnsi"/>
                <w:szCs w:val="22"/>
                <w:lang w:val="el-GR" w:eastAsia="en-US"/>
              </w:rPr>
              <w:t xml:space="preserve">), καθαρότητας ≥99.5% (αέρια χρωματογραφία - </w:t>
            </w:r>
            <w:r w:rsidRPr="0031709B">
              <w:rPr>
                <w:rFonts w:asciiTheme="minorHAnsi" w:eastAsia="Calibri" w:hAnsiTheme="minorHAnsi" w:cstheme="minorHAnsi"/>
                <w:szCs w:val="22"/>
                <w:lang w:eastAsia="en-US"/>
              </w:rPr>
              <w:t>GC</w:t>
            </w:r>
            <w:r w:rsidRPr="0031709B">
              <w:rPr>
                <w:rFonts w:asciiTheme="minorHAnsi" w:eastAsia="Calibri" w:hAnsiTheme="minorHAnsi" w:cstheme="minorHAnsi"/>
                <w:szCs w:val="22"/>
                <w:lang w:val="el-GR" w:eastAsia="en-US"/>
              </w:rPr>
              <w:t xml:space="preserve">). </w:t>
            </w:r>
            <w:r w:rsidRPr="0031709B">
              <w:rPr>
                <w:rFonts w:asciiTheme="minorHAnsi" w:hAnsiTheme="minorHAnsi" w:cstheme="minorHAnsi"/>
                <w:szCs w:val="22"/>
                <w:lang w:val="el-GR"/>
              </w:rPr>
              <w:t xml:space="preserve"> </w:t>
            </w:r>
            <w:r w:rsidRPr="003A1B9B">
              <w:rPr>
                <w:rFonts w:asciiTheme="minorHAnsi" w:eastAsia="Calibri" w:hAnsiTheme="minorHAnsi" w:cstheme="minorHAnsi"/>
                <w:szCs w:val="22"/>
                <w:lang w:val="el-GR" w:eastAsia="en-US"/>
              </w:rPr>
              <w:t xml:space="preserve">Συσκευασία 1 </w:t>
            </w:r>
            <w:r w:rsidRPr="0031709B">
              <w:rPr>
                <w:rFonts w:asciiTheme="minorHAnsi" w:eastAsia="Calibri" w:hAnsiTheme="minorHAnsi" w:cstheme="minorHAnsi"/>
                <w:szCs w:val="22"/>
                <w:lang w:eastAsia="en-US"/>
              </w:rPr>
              <w:t>kg</w:t>
            </w:r>
            <w:r w:rsidRPr="003A1B9B">
              <w:rPr>
                <w:rFonts w:asciiTheme="minorHAnsi" w:eastAsia="Calibri" w:hAnsiTheme="minorHAnsi" w:cstheme="minorHAnsi"/>
                <w:szCs w:val="22"/>
                <w:lang w:val="el-GR" w:eastAsia="en-US"/>
              </w:rPr>
              <w:t>.</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31709B" w:rsidTr="003A6119">
        <w:trPr>
          <w:trHeight w:val="1941"/>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4</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val="el-GR" w:eastAsia="en-US"/>
              </w:rPr>
              <w:t xml:space="preserve">Λαμινίνη στη φυσική της μορφή, απομονωμένη από σάρκωμα </w:t>
            </w:r>
            <w:r w:rsidRPr="0031709B">
              <w:rPr>
                <w:rFonts w:asciiTheme="minorHAnsi" w:eastAsia="Calibri" w:hAnsiTheme="minorHAnsi" w:cstheme="minorHAnsi"/>
                <w:szCs w:val="22"/>
                <w:lang w:eastAsia="en-US"/>
              </w:rPr>
              <w:t>Engelbreth</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Holm</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Swarm</w:t>
            </w:r>
            <w:r w:rsidRPr="0031709B">
              <w:rPr>
                <w:rFonts w:asciiTheme="minorHAnsi" w:eastAsia="Calibri" w:hAnsiTheme="minorHAnsi" w:cstheme="minorHAnsi"/>
                <w:szCs w:val="22"/>
                <w:lang w:val="el-GR" w:eastAsia="en-US"/>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κυτταροκαλλιέργεια θηλαστικών. Η ιδανική συγκέντρωση του διαλύματος είναι 1 </w:t>
            </w:r>
            <w:r w:rsidRPr="0031709B">
              <w:rPr>
                <w:rFonts w:asciiTheme="minorHAnsi" w:eastAsia="Calibri" w:hAnsiTheme="minorHAnsi" w:cstheme="minorHAnsi"/>
                <w:szCs w:val="22"/>
                <w:lang w:eastAsia="en-US"/>
              </w:rPr>
              <w:t>mg</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mL</w:t>
            </w:r>
            <w:r w:rsidRPr="0031709B">
              <w:rPr>
                <w:rFonts w:asciiTheme="minorHAnsi" w:eastAsia="Calibri" w:hAnsiTheme="minorHAnsi" w:cstheme="minorHAnsi"/>
                <w:szCs w:val="22"/>
                <w:lang w:val="el-GR" w:eastAsia="en-US"/>
              </w:rPr>
              <w:t xml:space="preserve">, ώστε να μπορεί να αραιωθεί περαιτέρω κατά βούληση. </w:t>
            </w:r>
            <w:r w:rsidRPr="0031709B">
              <w:rPr>
                <w:rFonts w:asciiTheme="minorHAnsi" w:eastAsia="Calibri" w:hAnsiTheme="minorHAnsi" w:cstheme="minorHAnsi"/>
                <w:szCs w:val="22"/>
                <w:lang w:eastAsia="en-US"/>
              </w:rPr>
              <w:t>Με πιστοποιητικό ανάλυσης ανά παρτίδα. Συσκευασία 1 mg</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31709B" w:rsidTr="003A6119">
        <w:trPr>
          <w:trHeight w:val="1408"/>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5</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Matrigel</w:t>
            </w:r>
            <w:r w:rsidRPr="0031709B">
              <w:rPr>
                <w:rFonts w:asciiTheme="minorHAnsi" w:eastAsia="Calibri" w:hAnsiTheme="minorHAnsi" w:cstheme="minorHAnsi"/>
                <w:szCs w:val="22"/>
                <w:lang w:val="el-GR" w:eastAsia="en-US"/>
              </w:rPr>
              <w:t xml:space="preserve"> με μειωμένους αυξητικούς παράγοντες (</w:t>
            </w:r>
            <w:r w:rsidRPr="0031709B">
              <w:rPr>
                <w:rFonts w:asciiTheme="minorHAnsi" w:eastAsia="Calibri" w:hAnsiTheme="minorHAnsi" w:cstheme="minorHAnsi"/>
                <w:szCs w:val="22"/>
                <w:lang w:eastAsia="en-US"/>
              </w:rPr>
              <w:t>GFR</w:t>
            </w:r>
            <w:r w:rsidRPr="0031709B">
              <w:rPr>
                <w:rFonts w:asciiTheme="minorHAnsi" w:eastAsia="Calibri" w:hAnsiTheme="minorHAnsi" w:cstheme="minorHAnsi"/>
                <w:szCs w:val="22"/>
                <w:lang w:val="el-GR" w:eastAsia="en-US"/>
              </w:rPr>
              <w:t xml:space="preserve">), ουσία βασικής μεμβράνης, κατάλληλο για εφαρμογές που απαιτούν διαλυτοποιημένο παρασκεύασμα καλά χαρακτηρισμένης </w:t>
            </w:r>
            <w:r w:rsidRPr="0031709B">
              <w:rPr>
                <w:rFonts w:asciiTheme="minorHAnsi" w:eastAsia="Calibri" w:hAnsiTheme="minorHAnsi" w:cstheme="minorHAnsi"/>
                <w:szCs w:val="22"/>
                <w:lang w:val="el-GR" w:eastAsia="en-US"/>
              </w:rPr>
              <w:lastRenderedPageBreak/>
              <w:t xml:space="preserve">βασικής μεμβράνης. Εκχυλίζεται από το σάρκωμα ποντικού </w:t>
            </w:r>
            <w:r w:rsidRPr="0031709B">
              <w:rPr>
                <w:rFonts w:asciiTheme="minorHAnsi" w:eastAsia="Calibri" w:hAnsiTheme="minorHAnsi" w:cstheme="minorHAnsi"/>
                <w:szCs w:val="22"/>
                <w:lang w:eastAsia="en-US"/>
              </w:rPr>
              <w:t>Engelbreth</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Holm</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Swarm</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eastAsia="en-US"/>
              </w:rPr>
              <w:t>EHS</w:t>
            </w:r>
            <w:r w:rsidRPr="0031709B">
              <w:rPr>
                <w:rFonts w:asciiTheme="minorHAnsi" w:eastAsia="Calibri" w:hAnsiTheme="minorHAnsi" w:cstheme="minorHAnsi"/>
                <w:szCs w:val="22"/>
                <w:lang w:val="el-GR" w:eastAsia="en-US"/>
              </w:rPr>
              <w:t xml:space="preserve">), το οποίο είναι όγκος πλούσιος σε πρωτεΐνες εξωκυττάριας ουσίας, συμπεριλαμβανομένης της λαμινίνης (ως κύριο συστατικό), του κολλαγόνου </w:t>
            </w:r>
            <w:r w:rsidRPr="0031709B">
              <w:rPr>
                <w:rFonts w:asciiTheme="minorHAnsi" w:eastAsia="Calibri" w:hAnsiTheme="minorHAnsi" w:cstheme="minorHAnsi"/>
                <w:szCs w:val="22"/>
                <w:lang w:eastAsia="en-US"/>
              </w:rPr>
              <w:t>IV</w:t>
            </w:r>
            <w:r w:rsidRPr="0031709B">
              <w:rPr>
                <w:rFonts w:asciiTheme="minorHAnsi" w:eastAsia="Calibri" w:hAnsiTheme="minorHAnsi" w:cstheme="minorHAnsi"/>
                <w:szCs w:val="22"/>
                <w:lang w:val="el-GR" w:eastAsia="en-US"/>
              </w:rPr>
              <w:t xml:space="preserve">, των πρωτεογλυκανών θειικής ηπαρίνης, της εντακτίνης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sidRPr="0031709B">
              <w:rPr>
                <w:rFonts w:asciiTheme="minorHAnsi" w:eastAsia="Calibri" w:hAnsiTheme="minorHAnsi" w:cstheme="minorHAnsi"/>
                <w:szCs w:val="22"/>
                <w:lang w:eastAsia="en-US"/>
              </w:rPr>
              <w:t>PCR</w:t>
            </w:r>
            <w:r w:rsidRPr="0031709B">
              <w:rPr>
                <w:rFonts w:asciiTheme="minorHAnsi" w:eastAsia="Calibri" w:hAnsiTheme="minorHAnsi" w:cstheme="minorHAnsi"/>
                <w:szCs w:val="22"/>
                <w:lang w:val="el-GR" w:eastAsia="en-US"/>
              </w:rPr>
              <w:t xml:space="preserve"> που εκτελούνται για τη διαλογή για ένα αριθμό παθογόνων. Να έχει δοκιμαστεί και να είναι αρνητικό για βακτήρια, μύκητες και μυκόπλασμα. Οι συγκεντρώσεις πρωτεΐνης να έχουν προσδιοριστεί με τη μέθοδο </w:t>
            </w:r>
            <w:r w:rsidRPr="0031709B">
              <w:rPr>
                <w:rFonts w:asciiTheme="minorHAnsi" w:eastAsia="Calibri" w:hAnsiTheme="minorHAnsi" w:cstheme="minorHAnsi"/>
                <w:szCs w:val="22"/>
                <w:lang w:eastAsia="en-US"/>
              </w:rPr>
              <w:t>Lowry</w:t>
            </w:r>
            <w:r w:rsidRPr="0031709B">
              <w:rPr>
                <w:rFonts w:asciiTheme="minorHAnsi" w:eastAsia="Calibri" w:hAnsiTheme="minorHAnsi" w:cstheme="minorHAnsi"/>
                <w:szCs w:val="22"/>
                <w:lang w:val="el-GR" w:eastAsia="en-US"/>
              </w:rPr>
              <w:t xml:space="preserve"> και τα επίπεδα ενδοτοξίνης να έχουν μετρηθεί με τη δοκιμασία </w:t>
            </w:r>
            <w:r w:rsidRPr="0031709B">
              <w:rPr>
                <w:rFonts w:asciiTheme="minorHAnsi" w:eastAsia="Calibri" w:hAnsiTheme="minorHAnsi" w:cstheme="minorHAnsi"/>
                <w:szCs w:val="22"/>
                <w:lang w:eastAsia="en-US"/>
              </w:rPr>
              <w:t>LAL</w:t>
            </w:r>
            <w:r w:rsidRPr="0031709B">
              <w:rPr>
                <w:rFonts w:asciiTheme="minorHAnsi" w:eastAsia="Calibri" w:hAnsiTheme="minorHAnsi" w:cstheme="minorHAnsi"/>
                <w:szCs w:val="22"/>
                <w:lang w:val="el-GR" w:eastAsia="en-US"/>
              </w:rPr>
              <w:t>. Η σταθερότητα της γέλης να είναι ελεγμένη για περίοδο 14 ημερών στους 37°</w:t>
            </w:r>
            <w:r w:rsidRPr="0031709B">
              <w:rPr>
                <w:rFonts w:asciiTheme="minorHAnsi" w:eastAsia="Calibri" w:hAnsiTheme="minorHAnsi" w:cstheme="minorHAnsi"/>
                <w:szCs w:val="22"/>
                <w:lang w:eastAsia="en-US"/>
              </w:rPr>
              <w:t>C</w:t>
            </w:r>
            <w:r w:rsidRPr="0031709B">
              <w:rPr>
                <w:rFonts w:asciiTheme="minorHAnsi" w:eastAsia="Calibri" w:hAnsiTheme="minorHAnsi" w:cstheme="minorHAnsi"/>
                <w:szCs w:val="22"/>
                <w:lang w:val="el-GR" w:eastAsia="en-US"/>
              </w:rPr>
              <w:t xml:space="preserve"> και η βιολογική δραστηριότητα να προσδιορίζεται για κάθε παρτίδα με τη δοκιμασία ανάπτυξης νευριτών. </w:t>
            </w:r>
            <w:r w:rsidRPr="0031709B">
              <w:rPr>
                <w:rFonts w:asciiTheme="minorHAnsi" w:eastAsia="Calibri" w:hAnsiTheme="minorHAnsi" w:cstheme="minorHAnsi"/>
                <w:szCs w:val="22"/>
                <w:lang w:eastAsia="en-US"/>
              </w:rPr>
              <w:t>Συσκευασία 10 ml.</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r>
      <w:tr w:rsidR="004115F7" w:rsidRPr="0031709B" w:rsidTr="003A6119">
        <w:trPr>
          <w:trHeight w:val="4952"/>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lastRenderedPageBreak/>
              <w:t>6</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val="el-GR" w:eastAsia="en-US"/>
              </w:rPr>
              <w:t xml:space="preserve">Διαλυτοποιημένο παρασκεύασμα βασικής μεμβράνης που εξάγεται από το σάρκωμα ποντικού </w:t>
            </w:r>
            <w:r w:rsidRPr="0031709B">
              <w:rPr>
                <w:rFonts w:asciiTheme="minorHAnsi" w:eastAsia="Calibri" w:hAnsiTheme="minorHAnsi" w:cstheme="minorHAnsi"/>
                <w:szCs w:val="22"/>
                <w:lang w:eastAsia="en-US"/>
              </w:rPr>
              <w:t>Engelbreth</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Holm</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Swarm</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eastAsia="en-US"/>
              </w:rPr>
              <w:t>EHS</w:t>
            </w:r>
            <w:r w:rsidRPr="0031709B">
              <w:rPr>
                <w:rFonts w:asciiTheme="minorHAnsi" w:eastAsia="Calibri" w:hAnsiTheme="minorHAnsi" w:cstheme="minorHAnsi"/>
                <w:szCs w:val="22"/>
                <w:lang w:val="el-GR" w:eastAsia="en-US"/>
              </w:rPr>
              <w:t xml:space="preserve">), έναν όγκο πλούσιο σε πρωτεΐνες εξωκυττάριας ουσίας, συμπεριλαμβανομένης της λαμινίνης (κύριο συστατικό), του κολλαγόνου </w:t>
            </w:r>
            <w:r w:rsidRPr="0031709B">
              <w:rPr>
                <w:rFonts w:asciiTheme="minorHAnsi" w:eastAsia="Calibri" w:hAnsiTheme="minorHAnsi" w:cstheme="minorHAnsi"/>
                <w:szCs w:val="22"/>
                <w:lang w:eastAsia="en-US"/>
              </w:rPr>
              <w:t>IV</w:t>
            </w:r>
            <w:r w:rsidRPr="0031709B">
              <w:rPr>
                <w:rFonts w:asciiTheme="minorHAnsi" w:eastAsia="Calibri" w:hAnsiTheme="minorHAnsi" w:cstheme="minorHAnsi"/>
                <w:szCs w:val="22"/>
                <w:lang w:val="el-GR" w:eastAsia="en-US"/>
              </w:rPr>
              <w:t xml:space="preserve">, των πρωτεογλυκανών της θειικής ηπαρίνης, εντακτίνης και έναν αριθμό αυξητικών παραγόντων. Να προτείνεται για την καλλιέργεια βλαστικών κυττάρων, να είναι συμβατό με θρεπτικό μέσο ισοδύναμο του </w:t>
            </w:r>
            <w:r w:rsidRPr="0031709B">
              <w:rPr>
                <w:rFonts w:asciiTheme="minorHAnsi" w:eastAsia="Calibri" w:hAnsiTheme="minorHAnsi" w:cstheme="minorHAnsi"/>
                <w:szCs w:val="22"/>
                <w:lang w:eastAsia="en-US"/>
              </w:rPr>
              <w:t>mTeSR</w:t>
            </w:r>
            <w:r w:rsidRPr="0031709B">
              <w:rPr>
                <w:rFonts w:asciiTheme="minorHAnsi" w:eastAsia="Calibri" w:hAnsiTheme="minorHAnsi" w:cstheme="minorHAnsi"/>
                <w:szCs w:val="22"/>
                <w:lang w:val="el-GR" w:eastAsia="en-US"/>
              </w:rPr>
              <w:t xml:space="preserve">1. Να είναι αποδεκτό ως εναλλακτικό υπόστρωμα για την καλλιέργεια ανθρώπινων εμβρυϊκών βλαστικών </w:t>
            </w:r>
            <w:r w:rsidRPr="0031709B">
              <w:rPr>
                <w:rFonts w:asciiTheme="minorHAnsi" w:eastAsia="Calibri" w:hAnsiTheme="minorHAnsi" w:cstheme="minorHAnsi"/>
                <w:szCs w:val="22"/>
                <w:lang w:val="el-GR" w:eastAsia="en-US"/>
              </w:rPr>
              <w:lastRenderedPageBreak/>
              <w:t xml:space="preserve">κυττάρων και επαγόμενων πολυδύναμων βλαστικών κυττάρων. Να μην απαιτείται περαιτέρω προσθήκη αυξητικών παραγόντων ή συμπληρωμάτων. Η ποιότητα του να έχει ελεγχθεί σε αποικίες ποντικών για παθογόνα μέσω ελέγχου για την παραγωγή αντισωμάτων ποντικού και με εκτεταμένες δοκιμές </w:t>
            </w:r>
            <w:r w:rsidRPr="0031709B">
              <w:rPr>
                <w:rFonts w:asciiTheme="minorHAnsi" w:eastAsia="Calibri" w:hAnsiTheme="minorHAnsi" w:cstheme="minorHAnsi"/>
                <w:szCs w:val="22"/>
                <w:lang w:eastAsia="en-US"/>
              </w:rPr>
              <w:t>PCR</w:t>
            </w:r>
            <w:r w:rsidRPr="0031709B">
              <w:rPr>
                <w:rFonts w:asciiTheme="minorHAnsi" w:eastAsia="Calibri" w:hAnsiTheme="minorHAnsi" w:cstheme="minorHAnsi"/>
                <w:szCs w:val="22"/>
                <w:lang w:val="el-GR" w:eastAsia="en-US"/>
              </w:rPr>
              <w:t xml:space="preserve"> που εκτελούνται για τη διαλογή για ένα αριθμό παθογόνων, Να έχει δοκιμαστεί και να είναι αρνητικό για βακτήρια, μύκητες και μυκόπλασμα. Οι συγκεντρώσεις πρωτεΐνης να έχουν προσδιοριστεί με τη μέθοδο </w:t>
            </w:r>
            <w:r w:rsidRPr="0031709B">
              <w:rPr>
                <w:rFonts w:asciiTheme="minorHAnsi" w:eastAsia="Calibri" w:hAnsiTheme="minorHAnsi" w:cstheme="minorHAnsi"/>
                <w:szCs w:val="22"/>
                <w:lang w:eastAsia="en-US"/>
              </w:rPr>
              <w:t>Lowry</w:t>
            </w:r>
            <w:r w:rsidRPr="0031709B">
              <w:rPr>
                <w:rFonts w:asciiTheme="minorHAnsi" w:eastAsia="Calibri" w:hAnsiTheme="minorHAnsi" w:cstheme="minorHAnsi"/>
                <w:szCs w:val="22"/>
                <w:lang w:val="el-GR" w:eastAsia="en-US"/>
              </w:rPr>
              <w:t xml:space="preserve"> και τα επίπεδα ενδοτοξίνης να έχουν μετρηθεί με τη δοκιμασία </w:t>
            </w:r>
            <w:r w:rsidRPr="0031709B">
              <w:rPr>
                <w:rFonts w:asciiTheme="minorHAnsi" w:eastAsia="Calibri" w:hAnsiTheme="minorHAnsi" w:cstheme="minorHAnsi"/>
                <w:szCs w:val="22"/>
                <w:lang w:eastAsia="en-US"/>
              </w:rPr>
              <w:t>LAL</w:t>
            </w:r>
            <w:r w:rsidRPr="0031709B">
              <w:rPr>
                <w:rFonts w:asciiTheme="minorHAnsi" w:eastAsia="Calibri" w:hAnsiTheme="minorHAnsi" w:cstheme="minorHAnsi"/>
                <w:szCs w:val="22"/>
                <w:lang w:val="el-GR" w:eastAsia="en-US"/>
              </w:rPr>
              <w:t>. Η σταθερότητα της γέλης να είναι ελεγμένη για περίοδο 14 ημερών στους 37°</w:t>
            </w:r>
            <w:r w:rsidRPr="0031709B">
              <w:rPr>
                <w:rFonts w:asciiTheme="minorHAnsi" w:eastAsia="Calibri" w:hAnsiTheme="minorHAnsi" w:cstheme="minorHAnsi"/>
                <w:szCs w:val="22"/>
                <w:lang w:eastAsia="en-US"/>
              </w:rPr>
              <w:t>C</w:t>
            </w:r>
            <w:r w:rsidRPr="0031709B">
              <w:rPr>
                <w:rFonts w:asciiTheme="minorHAnsi" w:eastAsia="Calibri" w:hAnsiTheme="minorHAnsi" w:cstheme="minorHAnsi"/>
                <w:szCs w:val="22"/>
                <w:lang w:val="el-GR" w:eastAsia="en-US"/>
              </w:rPr>
              <w:t xml:space="preserve"> και η βιολογική δραστηριότητα να προσδιορίζεται για κάθε παρτίδα με τη δοκιμασία ανάπτυξης νευριτών. </w:t>
            </w:r>
            <w:r w:rsidRPr="0031709B">
              <w:rPr>
                <w:rFonts w:asciiTheme="minorHAnsi" w:eastAsia="Calibri" w:hAnsiTheme="minorHAnsi" w:cstheme="minorHAnsi"/>
                <w:szCs w:val="22"/>
                <w:lang w:eastAsia="en-US"/>
              </w:rPr>
              <w:t>Συσκευασία 5 ml.</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31709B" w:rsidTr="003A6119">
        <w:trPr>
          <w:trHeight w:val="3247"/>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lastRenderedPageBreak/>
              <w:t>7</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Κιτ</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για</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απομόνωση</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συνολικού</w:t>
            </w:r>
            <w:r w:rsidRPr="0031709B">
              <w:rPr>
                <w:rFonts w:asciiTheme="minorHAnsi" w:eastAsia="Calibri" w:hAnsiTheme="minorHAnsi" w:cstheme="minorHAnsi"/>
                <w:szCs w:val="22"/>
                <w:lang w:val="en-US" w:eastAsia="en-US"/>
              </w:rPr>
              <w:t xml:space="preserve"> RNA </w:t>
            </w:r>
            <w:r w:rsidRPr="0031709B">
              <w:rPr>
                <w:rFonts w:asciiTheme="minorHAnsi" w:eastAsia="Calibri" w:hAnsiTheme="minorHAnsi" w:cstheme="minorHAnsi"/>
                <w:szCs w:val="22"/>
                <w:lang w:eastAsia="en-US"/>
              </w:rPr>
              <w:t>από</w:t>
            </w:r>
            <w:r w:rsidRPr="0031709B">
              <w:rPr>
                <w:rFonts w:asciiTheme="minorHAnsi" w:eastAsia="Calibri" w:hAnsiTheme="minorHAnsi" w:cstheme="minorHAnsi"/>
                <w:szCs w:val="22"/>
                <w:lang w:val="en-US" w:eastAsia="en-US"/>
              </w:rPr>
              <w:t xml:space="preserve"> 1–105 cultured cells &lt; 5 mg human / animal tissue. </w:t>
            </w:r>
            <w:r w:rsidRPr="0031709B">
              <w:rPr>
                <w:rFonts w:asciiTheme="minorHAnsi" w:eastAsia="Calibri" w:hAnsiTheme="minorHAnsi" w:cstheme="minorHAnsi"/>
                <w:szCs w:val="22"/>
                <w:lang w:val="el-GR" w:eastAsia="en-US"/>
              </w:rPr>
              <w:t>Να έχει ικανότητα πρόσδεσης τουλάχιστον 100 μ</w:t>
            </w:r>
            <w:r w:rsidRPr="0031709B">
              <w:rPr>
                <w:rFonts w:asciiTheme="minorHAnsi" w:eastAsia="Calibri" w:hAnsiTheme="minorHAnsi" w:cstheme="minorHAnsi"/>
                <w:szCs w:val="22"/>
                <w:lang w:eastAsia="en-US"/>
              </w:rPr>
              <w:t>g</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eastAsia="en-US"/>
              </w:rPr>
              <w:t>R</w:t>
            </w:r>
            <w:r w:rsidRPr="0031709B">
              <w:rPr>
                <w:rFonts w:asciiTheme="minorHAnsi" w:eastAsia="Calibri" w:hAnsiTheme="minorHAnsi" w:cstheme="minorHAnsi"/>
                <w:szCs w:val="22"/>
                <w:lang w:val="el-GR" w:eastAsia="en-US"/>
              </w:rPr>
              <w:t>ΝΑ. Τ</w:t>
            </w:r>
            <w:r w:rsidRPr="0031709B">
              <w:rPr>
                <w:rFonts w:asciiTheme="minorHAnsi" w:eastAsia="Calibri" w:hAnsiTheme="minorHAnsi" w:cstheme="minorHAnsi"/>
                <w:szCs w:val="22"/>
                <w:lang w:eastAsia="en-US"/>
              </w:rPr>
              <w:t>o</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eastAsia="en-US"/>
              </w:rPr>
              <w:t>kit</w:t>
            </w:r>
            <w:r w:rsidRPr="0031709B">
              <w:rPr>
                <w:rFonts w:asciiTheme="minorHAnsi" w:eastAsia="Calibri" w:hAnsiTheme="minorHAnsi" w:cstheme="minorHAnsi"/>
                <w:szCs w:val="22"/>
                <w:lang w:val="el-GR" w:eastAsia="en-US"/>
              </w:rPr>
              <w:t xml:space="preserve"> να περιλαμβάνει επιπλέον στήλες για την απομάκρυνση του γενομικού </w:t>
            </w:r>
            <w:r w:rsidRPr="0031709B">
              <w:rPr>
                <w:rFonts w:asciiTheme="minorHAnsi" w:eastAsia="Calibri" w:hAnsiTheme="minorHAnsi" w:cstheme="minorHAnsi"/>
                <w:szCs w:val="22"/>
                <w:lang w:eastAsia="en-US"/>
              </w:rPr>
              <w:t>DNA</w:t>
            </w:r>
            <w:r w:rsidRPr="0031709B">
              <w:rPr>
                <w:rFonts w:asciiTheme="minorHAnsi" w:eastAsia="Calibri" w:hAnsiTheme="minorHAnsi" w:cstheme="minorHAnsi"/>
                <w:szCs w:val="22"/>
                <w:lang w:val="el-GR" w:eastAsia="en-US"/>
              </w:rPr>
              <w:t xml:space="preserve"> ώστε να μην απαιτείται επώαση με </w:t>
            </w:r>
            <w:r w:rsidRPr="0031709B">
              <w:rPr>
                <w:rFonts w:asciiTheme="minorHAnsi" w:eastAsia="Calibri" w:hAnsiTheme="minorHAnsi" w:cstheme="minorHAnsi"/>
                <w:szCs w:val="22"/>
                <w:lang w:eastAsia="en-US"/>
              </w:rPr>
              <w:t>DNAse</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val="el-GR" w:eastAsia="en-US"/>
              </w:rPr>
              <w:br/>
              <w:t xml:space="preserve">Να μην απαιτείται η προσθήκη β-μερκαπτοαιθανόλης ή </w:t>
            </w:r>
            <w:r w:rsidRPr="0031709B">
              <w:rPr>
                <w:rFonts w:asciiTheme="minorHAnsi" w:eastAsia="Calibri" w:hAnsiTheme="minorHAnsi" w:cstheme="minorHAnsi"/>
                <w:szCs w:val="22"/>
                <w:lang w:eastAsia="en-US"/>
              </w:rPr>
              <w:t>TCEP</w:t>
            </w:r>
            <w:r w:rsidRPr="0031709B">
              <w:rPr>
                <w:rFonts w:asciiTheme="minorHAnsi" w:eastAsia="Calibri" w:hAnsiTheme="minorHAnsi" w:cstheme="minorHAnsi"/>
                <w:szCs w:val="22"/>
                <w:lang w:val="el-GR" w:eastAsia="en-US"/>
              </w:rPr>
              <w:t xml:space="preserve"> στο διάλυμα λύσης. Να παρέχεται υψηλής καθαρότητας </w:t>
            </w:r>
            <w:r w:rsidRPr="0031709B">
              <w:rPr>
                <w:rFonts w:asciiTheme="minorHAnsi" w:eastAsia="Calibri" w:hAnsiTheme="minorHAnsi" w:cstheme="minorHAnsi"/>
                <w:szCs w:val="22"/>
                <w:lang w:eastAsia="en-US"/>
              </w:rPr>
              <w:t>RNA</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eastAsia="en-US"/>
              </w:rPr>
              <w:t>A</w:t>
            </w:r>
            <w:r w:rsidRPr="0031709B">
              <w:rPr>
                <w:rFonts w:asciiTheme="minorHAnsi" w:eastAsia="Calibri" w:hAnsiTheme="minorHAnsi" w:cstheme="minorHAnsi"/>
                <w:szCs w:val="22"/>
                <w:lang w:val="el-GR" w:eastAsia="en-US"/>
              </w:rPr>
              <w:t xml:space="preserve">260/280 : 1.9-2.2 Να παρέχεται υψηλής συγκέντρωσης </w:t>
            </w:r>
            <w:r w:rsidRPr="0031709B">
              <w:rPr>
                <w:rFonts w:asciiTheme="minorHAnsi" w:eastAsia="Calibri" w:hAnsiTheme="minorHAnsi" w:cstheme="minorHAnsi"/>
                <w:szCs w:val="22"/>
                <w:lang w:eastAsia="en-US"/>
              </w:rPr>
              <w:t>RNA</w:t>
            </w:r>
            <w:r w:rsidRPr="0031709B">
              <w:rPr>
                <w:rFonts w:asciiTheme="minorHAnsi" w:eastAsia="Calibri" w:hAnsiTheme="minorHAnsi" w:cstheme="minorHAnsi"/>
                <w:szCs w:val="22"/>
                <w:lang w:val="el-GR" w:eastAsia="en-US"/>
              </w:rPr>
              <w:t xml:space="preserve">: πχ. 500-2000 </w:t>
            </w:r>
            <w:r w:rsidRPr="0031709B">
              <w:rPr>
                <w:rFonts w:asciiTheme="minorHAnsi" w:eastAsia="Calibri" w:hAnsiTheme="minorHAnsi" w:cstheme="minorHAnsi"/>
                <w:szCs w:val="22"/>
                <w:lang w:eastAsia="en-US"/>
              </w:rPr>
              <w:t>ng</w:t>
            </w:r>
            <w:r w:rsidRPr="0031709B">
              <w:rPr>
                <w:rFonts w:asciiTheme="minorHAnsi" w:eastAsia="Calibri" w:hAnsiTheme="minorHAnsi" w:cstheme="minorHAnsi"/>
                <w:szCs w:val="22"/>
                <w:lang w:val="el-GR" w:eastAsia="en-US"/>
              </w:rPr>
              <w:t xml:space="preserve"> από 105 </w:t>
            </w:r>
            <w:r w:rsidRPr="0031709B">
              <w:rPr>
                <w:rFonts w:asciiTheme="minorHAnsi" w:eastAsia="Calibri" w:hAnsiTheme="minorHAnsi" w:cstheme="minorHAnsi"/>
                <w:szCs w:val="22"/>
                <w:lang w:eastAsia="en-US"/>
              </w:rPr>
              <w:t>HeLa</w:t>
            </w:r>
            <w:r w:rsidRPr="0031709B">
              <w:rPr>
                <w:rFonts w:asciiTheme="minorHAnsi" w:eastAsia="Calibri" w:hAnsiTheme="minorHAnsi" w:cstheme="minorHAnsi"/>
                <w:szCs w:val="22"/>
                <w:lang w:val="el-GR" w:eastAsia="en-US"/>
              </w:rPr>
              <w:t xml:space="preserve"> </w:t>
            </w:r>
            <w:r w:rsidRPr="0031709B">
              <w:rPr>
                <w:rFonts w:asciiTheme="minorHAnsi" w:eastAsia="Calibri" w:hAnsiTheme="minorHAnsi" w:cstheme="minorHAnsi"/>
                <w:szCs w:val="22"/>
                <w:lang w:eastAsia="en-US"/>
              </w:rPr>
              <w:t>cells</w:t>
            </w:r>
            <w:r w:rsidRPr="0031709B">
              <w:rPr>
                <w:rFonts w:asciiTheme="minorHAnsi" w:eastAsia="Calibri" w:hAnsiTheme="minorHAnsi" w:cstheme="minorHAnsi"/>
                <w:szCs w:val="22"/>
                <w:lang w:val="el-GR" w:eastAsia="en-US"/>
              </w:rPr>
              <w:t>. Ο όγκος έκλουσης να είναι 5– 30 μ</w:t>
            </w:r>
            <w:r w:rsidRPr="0031709B">
              <w:rPr>
                <w:rFonts w:asciiTheme="minorHAnsi" w:eastAsia="Calibri" w:hAnsiTheme="minorHAnsi" w:cstheme="minorHAnsi"/>
                <w:szCs w:val="22"/>
                <w:lang w:eastAsia="en-US"/>
              </w:rPr>
              <w:t>l</w:t>
            </w:r>
            <w:r w:rsidRPr="0031709B">
              <w:rPr>
                <w:rFonts w:asciiTheme="minorHAnsi" w:eastAsia="Calibri" w:hAnsiTheme="minorHAnsi" w:cstheme="minorHAnsi"/>
                <w:szCs w:val="22"/>
                <w:lang w:val="el-GR" w:eastAsia="en-US"/>
              </w:rPr>
              <w:t xml:space="preserve">. Η διαδικασία να ολοκληρώνεται σε λιγότερο από 18 λεπτά. </w:t>
            </w:r>
            <w:r w:rsidRPr="0031709B">
              <w:rPr>
                <w:rFonts w:asciiTheme="minorHAnsi" w:eastAsia="Calibri" w:hAnsiTheme="minorHAnsi" w:cstheme="minorHAnsi"/>
                <w:szCs w:val="22"/>
                <w:lang w:eastAsia="en-US"/>
              </w:rPr>
              <w:t>Να</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είναι</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κατάλληλο</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για</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όλες</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τις</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συνήθεις</w:t>
            </w:r>
            <w:r w:rsidRPr="0031709B">
              <w:rPr>
                <w:rFonts w:asciiTheme="minorHAnsi" w:eastAsia="Calibri" w:hAnsiTheme="minorHAnsi" w:cstheme="minorHAnsi"/>
                <w:szCs w:val="22"/>
                <w:lang w:val="en-US" w:eastAsia="en-US"/>
              </w:rPr>
              <w:t xml:space="preserve"> </w:t>
            </w:r>
            <w:r w:rsidRPr="0031709B">
              <w:rPr>
                <w:rFonts w:asciiTheme="minorHAnsi" w:eastAsia="Calibri" w:hAnsiTheme="minorHAnsi" w:cstheme="minorHAnsi"/>
                <w:szCs w:val="22"/>
                <w:lang w:eastAsia="en-US"/>
              </w:rPr>
              <w:t>εφαρμογές</w:t>
            </w:r>
            <w:r w:rsidRPr="0031709B">
              <w:rPr>
                <w:rFonts w:asciiTheme="minorHAnsi" w:eastAsia="Calibri" w:hAnsiTheme="minorHAnsi" w:cstheme="minorHAnsi"/>
                <w:szCs w:val="22"/>
                <w:lang w:val="en-US" w:eastAsia="en-US"/>
              </w:rPr>
              <w:t xml:space="preserve">: real-time RT-PCR, Northern blotting, primer extension, array technology, RNase protection assays. </w:t>
            </w:r>
            <w:r w:rsidRPr="0031709B">
              <w:rPr>
                <w:rFonts w:asciiTheme="minorHAnsi" w:eastAsia="Calibri" w:hAnsiTheme="minorHAnsi" w:cstheme="minorHAnsi"/>
                <w:szCs w:val="22"/>
                <w:lang w:eastAsia="en-US"/>
              </w:rPr>
              <w:lastRenderedPageBreak/>
              <w:t>Nα διατίθεται σε συσκευασία των 50 απομονώσεων.</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eastAsia="en-US"/>
              </w:rPr>
            </w:pPr>
          </w:p>
        </w:tc>
      </w:tr>
      <w:tr w:rsidR="004115F7" w:rsidRPr="0031709B" w:rsidTr="003A6119">
        <w:trPr>
          <w:trHeight w:val="1976"/>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lastRenderedPageBreak/>
              <w:t>8</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val="el-GR" w:eastAsia="en-US"/>
              </w:rPr>
              <w:t xml:space="preserve">Μέσο φύλαξης κυττάρων, με αλβουμίνη ανθρώπινου ορού και </w:t>
            </w:r>
            <w:r w:rsidRPr="0031709B">
              <w:rPr>
                <w:rFonts w:asciiTheme="minorHAnsi" w:eastAsia="Calibri" w:hAnsiTheme="minorHAnsi" w:cstheme="minorHAnsi"/>
                <w:szCs w:val="22"/>
                <w:lang w:eastAsia="en-US"/>
              </w:rPr>
              <w:t>DMSO</w:t>
            </w:r>
            <w:r w:rsidRPr="0031709B">
              <w:rPr>
                <w:rFonts w:asciiTheme="minorHAnsi" w:eastAsia="Calibri" w:hAnsiTheme="minorHAnsi" w:cstheme="minorHAnsi"/>
                <w:szCs w:val="22"/>
                <w:lang w:val="el-GR" w:eastAsia="en-US"/>
              </w:rPr>
              <w:t xml:space="preserve"> για κρυοσυντήρηση και μεταφορά πρωτογενών </w:t>
            </w:r>
            <w:r w:rsidRPr="0031709B">
              <w:rPr>
                <w:rFonts w:asciiTheme="minorHAnsi" w:eastAsia="Calibri" w:hAnsiTheme="minorHAnsi" w:cstheme="minorHAnsi"/>
                <w:szCs w:val="22"/>
                <w:lang w:eastAsia="en-US"/>
              </w:rPr>
              <w:t>ES</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iPS</w:t>
            </w:r>
            <w:r w:rsidRPr="0031709B">
              <w:rPr>
                <w:rFonts w:asciiTheme="minorHAnsi" w:eastAsia="Calibri" w:hAnsiTheme="minorHAnsi" w:cstheme="minorHAnsi"/>
                <w:szCs w:val="22"/>
                <w:lang w:val="el-GR" w:eastAsia="en-US"/>
              </w:rPr>
              <w:t xml:space="preserve"> κυττάρων. Να είναι απαλλαγμένο από ζωικά συστατικά (</w:t>
            </w:r>
            <w:r w:rsidRPr="0031709B">
              <w:rPr>
                <w:rFonts w:asciiTheme="minorHAnsi" w:eastAsia="Calibri" w:hAnsiTheme="minorHAnsi" w:cstheme="minorHAnsi"/>
                <w:szCs w:val="22"/>
                <w:lang w:eastAsia="en-US"/>
              </w:rPr>
              <w:t>xeno</w:t>
            </w:r>
            <w:r w:rsidRPr="0031709B">
              <w:rPr>
                <w:rFonts w:asciiTheme="minorHAnsi" w:eastAsia="Calibri" w:hAnsiTheme="minorHAnsi" w:cstheme="minorHAnsi"/>
                <w:szCs w:val="22"/>
                <w:lang w:val="el-GR" w:eastAsia="en-US"/>
              </w:rPr>
              <w:t>-</w:t>
            </w:r>
            <w:r w:rsidRPr="0031709B">
              <w:rPr>
                <w:rFonts w:asciiTheme="minorHAnsi" w:eastAsia="Calibri" w:hAnsiTheme="minorHAnsi" w:cstheme="minorHAnsi"/>
                <w:szCs w:val="22"/>
                <w:lang w:eastAsia="en-US"/>
              </w:rPr>
              <w:t>free</w:t>
            </w:r>
            <w:r w:rsidRPr="0031709B">
              <w:rPr>
                <w:rFonts w:asciiTheme="minorHAnsi" w:eastAsia="Calibri" w:hAnsiTheme="minorHAnsi" w:cstheme="minorHAnsi"/>
                <w:szCs w:val="22"/>
                <w:lang w:val="el-GR" w:eastAsia="en-US"/>
              </w:rPr>
              <w:t>). Να είναι έτοιμο προς χρήση.</w:t>
            </w:r>
            <w:r w:rsidRPr="0031709B">
              <w:rPr>
                <w:rFonts w:asciiTheme="minorHAnsi" w:eastAsia="Calibri" w:hAnsiTheme="minorHAnsi" w:cstheme="minorHAnsi"/>
                <w:szCs w:val="22"/>
                <w:lang w:val="el-GR" w:eastAsia="en-US"/>
              </w:rPr>
              <w:br/>
              <w:t xml:space="preserve">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w:t>
            </w:r>
            <w:r w:rsidRPr="0031709B">
              <w:rPr>
                <w:rFonts w:asciiTheme="minorHAnsi" w:eastAsia="Calibri" w:hAnsiTheme="minorHAnsi" w:cstheme="minorHAnsi"/>
                <w:szCs w:val="22"/>
                <w:lang w:eastAsia="en-US"/>
              </w:rPr>
              <w:t>Συσκευασία 20 ml.</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3A1B9B" w:rsidTr="003A6119">
        <w:trPr>
          <w:trHeight w:val="1691"/>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9</w:t>
            </w:r>
          </w:p>
        </w:tc>
        <w:tc>
          <w:tcPr>
            <w:tcW w:w="2133" w:type="pct"/>
            <w:shd w:val="clear" w:color="auto" w:fill="auto"/>
            <w:vAlign w:val="center"/>
          </w:tcPr>
          <w:p w:rsidR="004115F7" w:rsidRPr="003A1B9B" w:rsidRDefault="004115F7" w:rsidP="003A6119">
            <w:pPr>
              <w:spacing w:line="276" w:lineRule="auto"/>
              <w:jc w:val="center"/>
              <w:rPr>
                <w:rFonts w:asciiTheme="minorHAnsi" w:eastAsia="Calibri" w:hAnsiTheme="minorHAnsi" w:cstheme="minorHAnsi"/>
                <w:szCs w:val="22"/>
                <w:lang w:val="el-GR" w:eastAsia="en-US"/>
              </w:rPr>
            </w:pPr>
            <w:r w:rsidRPr="0031709B">
              <w:rPr>
                <w:rFonts w:asciiTheme="minorHAnsi" w:eastAsia="Calibri" w:hAnsiTheme="minorHAnsi" w:cstheme="minorHAnsi"/>
                <w:szCs w:val="22"/>
                <w:lang w:val="el-GR" w:eastAsia="en-US"/>
              </w:rPr>
              <w:t xml:space="preserve">Συμπυκνωμένο διάλυμα καθορισμένης σύστασης για την αποφυγή χρήσης ορού ζώων, που χρησιμοποιείται για την καλλιέργεια εμβρυικών βλαστικών κυττάρων πριν τη διαφοροποίησή τους και επαγόμενων πολυδύναμων βλαστικών κυττάρων. </w:t>
            </w:r>
            <w:r w:rsidRPr="003A1B9B">
              <w:rPr>
                <w:rFonts w:asciiTheme="minorHAnsi" w:eastAsia="Calibri" w:hAnsiTheme="minorHAnsi" w:cstheme="minorHAnsi"/>
                <w:szCs w:val="22"/>
                <w:lang w:val="el-GR" w:eastAsia="en-US"/>
              </w:rPr>
              <w:t xml:space="preserve">Με πιστοποιητικό ανάλυσης ανά παρτίδα. Συσκευασία 100 </w:t>
            </w:r>
            <w:r w:rsidRPr="0031709B">
              <w:rPr>
                <w:rFonts w:asciiTheme="minorHAnsi" w:eastAsia="Calibri" w:hAnsiTheme="minorHAnsi" w:cstheme="minorHAnsi"/>
                <w:szCs w:val="22"/>
                <w:lang w:eastAsia="en-US"/>
              </w:rPr>
              <w:t>ml</w:t>
            </w:r>
            <w:r w:rsidRPr="003A1B9B">
              <w:rPr>
                <w:rFonts w:asciiTheme="minorHAnsi" w:eastAsia="Calibri" w:hAnsiTheme="minorHAnsi" w:cstheme="minorHAnsi"/>
                <w:szCs w:val="22"/>
                <w:lang w:val="el-GR" w:eastAsia="en-US"/>
              </w:rPr>
              <w:t>.</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4115F7" w:rsidTr="003A6119">
        <w:trPr>
          <w:trHeight w:val="1550"/>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10</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val="el-GR" w:eastAsia="en-US"/>
              </w:rPr>
            </w:pPr>
            <w:r w:rsidRPr="0031709B">
              <w:rPr>
                <w:rFonts w:asciiTheme="minorHAnsi" w:eastAsia="Calibri" w:hAnsiTheme="minorHAnsi" w:cstheme="minorHAnsi"/>
                <w:szCs w:val="22"/>
                <w:lang w:val="el-GR" w:eastAsia="en-US"/>
              </w:rPr>
              <w:t xml:space="preserve">Στείρο θρεπτικό υλικό, βελτιστοποιημένο για την καλλιέργεια και ανάπτυξη των ανθρώπινων πολυδύναμων βλαστικών κυττάρων, με υψηλή συγκέντρωση γλυκόζης, ερυθρό της φαινόλης και χωρίς </w:t>
            </w:r>
            <w:r w:rsidRPr="0031709B">
              <w:rPr>
                <w:rFonts w:asciiTheme="minorHAnsi" w:eastAsia="Calibri" w:hAnsiTheme="minorHAnsi" w:cstheme="minorHAnsi"/>
                <w:szCs w:val="22"/>
                <w:lang w:eastAsia="en-US"/>
              </w:rPr>
              <w:t>L</w:t>
            </w:r>
            <w:r w:rsidRPr="0031709B">
              <w:rPr>
                <w:rFonts w:asciiTheme="minorHAnsi" w:eastAsia="Calibri" w:hAnsiTheme="minorHAnsi" w:cstheme="minorHAnsi"/>
                <w:szCs w:val="22"/>
                <w:lang w:val="el-GR" w:eastAsia="en-US"/>
              </w:rPr>
              <w:t xml:space="preserve">-γλουταμίνη. Με άδεια </w:t>
            </w:r>
            <w:r w:rsidRPr="0031709B">
              <w:rPr>
                <w:rFonts w:asciiTheme="minorHAnsi" w:eastAsia="Calibri" w:hAnsiTheme="minorHAnsi" w:cstheme="minorHAnsi"/>
                <w:szCs w:val="22"/>
                <w:lang w:eastAsia="en-US"/>
              </w:rPr>
              <w:t>RUO</w:t>
            </w:r>
            <w:r w:rsidRPr="0031709B">
              <w:rPr>
                <w:rFonts w:asciiTheme="minorHAnsi" w:eastAsia="Calibri" w:hAnsiTheme="minorHAnsi" w:cstheme="minorHAnsi"/>
                <w:szCs w:val="22"/>
                <w:lang w:val="el-GR" w:eastAsia="en-US"/>
              </w:rPr>
              <w:t xml:space="preserve">. Με πιστοποιητικό ανάλυσης ανά παρτίδα. Συσκευασία 500 </w:t>
            </w:r>
            <w:r w:rsidRPr="0031709B">
              <w:rPr>
                <w:rFonts w:asciiTheme="minorHAnsi" w:eastAsia="Calibri" w:hAnsiTheme="minorHAnsi" w:cstheme="minorHAnsi"/>
                <w:szCs w:val="22"/>
                <w:lang w:eastAsia="en-US"/>
              </w:rPr>
              <w:t>ml</w:t>
            </w:r>
            <w:r w:rsidRPr="0031709B">
              <w:rPr>
                <w:rFonts w:asciiTheme="minorHAnsi" w:eastAsia="Calibri" w:hAnsiTheme="minorHAnsi" w:cstheme="minorHAnsi"/>
                <w:szCs w:val="22"/>
                <w:lang w:val="el-GR" w:eastAsia="en-US"/>
              </w:rPr>
              <w:t>.</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31709B" w:rsidTr="003A6119">
        <w:trPr>
          <w:trHeight w:val="557"/>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lastRenderedPageBreak/>
              <w:t>11</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val="el-GR" w:eastAsia="en-US"/>
              </w:rPr>
              <w:t xml:space="preserve">Εμβρυικοί ινοβλάστες ποντικού ιδανικοί για την υποστήριξη/διατήρηση υγιών αδιαφοροποίητων ποντικίσιων και ανθρώπινων πολυδύναμων κυττάρων σε καλλιέργεια. Πρέπει να είναι μιτωτικά ανενεργοί με ακτινοβολία και να μην πολλαπλασιάζονται. Να έχουν ελεγχθεί για τη διατήρηση αδιαφοροποίητων πολυδύναμων κυττάρων ποντικού και ανθρώπου, για παθογόνα ποντικών, για στείρες συνθήκες, μυκόπλασμα και επιβίωση μετά από πάγωμα. </w:t>
            </w:r>
            <w:r w:rsidRPr="0031709B">
              <w:rPr>
                <w:rFonts w:asciiTheme="minorHAnsi" w:eastAsia="Calibri" w:hAnsiTheme="minorHAnsi" w:cstheme="minorHAnsi"/>
                <w:szCs w:val="22"/>
                <w:lang w:eastAsia="en-US"/>
              </w:rPr>
              <w:t>Με πιστοποιητικό ανάλυσης ανά παρτίδα. Συσκευασία 2 εκατομμύρια κύτταρα/φιαλίδιο.</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4115F7" w:rsidTr="003A6119">
        <w:trPr>
          <w:trHeight w:val="557"/>
        </w:trPr>
        <w:tc>
          <w:tcPr>
            <w:tcW w:w="359"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eastAsia="en-US"/>
              </w:rPr>
            </w:pPr>
            <w:r w:rsidRPr="0031709B">
              <w:rPr>
                <w:rFonts w:asciiTheme="minorHAnsi" w:eastAsia="Calibri" w:hAnsiTheme="minorHAnsi" w:cstheme="minorHAnsi"/>
                <w:szCs w:val="22"/>
                <w:lang w:eastAsia="en-US"/>
              </w:rPr>
              <w:t>12</w:t>
            </w:r>
          </w:p>
        </w:tc>
        <w:tc>
          <w:tcPr>
            <w:tcW w:w="2133" w:type="pct"/>
            <w:shd w:val="clear" w:color="auto" w:fill="auto"/>
            <w:vAlign w:val="center"/>
          </w:tcPr>
          <w:p w:rsidR="004115F7" w:rsidRPr="0031709B" w:rsidRDefault="004115F7" w:rsidP="003A6119">
            <w:pPr>
              <w:spacing w:line="276" w:lineRule="auto"/>
              <w:jc w:val="center"/>
              <w:rPr>
                <w:rFonts w:asciiTheme="minorHAnsi" w:eastAsia="Calibri" w:hAnsiTheme="minorHAnsi" w:cstheme="minorHAnsi"/>
                <w:szCs w:val="22"/>
                <w:lang w:val="el-GR" w:eastAsia="en-US"/>
              </w:rPr>
            </w:pPr>
            <w:r w:rsidRPr="0031709B">
              <w:rPr>
                <w:rFonts w:asciiTheme="minorHAnsi" w:eastAsia="Calibri" w:hAnsiTheme="minorHAnsi" w:cstheme="minorHAnsi"/>
                <w:szCs w:val="22"/>
                <w:lang w:val="el-GR" w:eastAsia="en-US"/>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νευρωνική διαφοροποίηση. Να παρέχεται ως κιτ που περιλαμβάνει το βασικό υλικό σε συσκευασία 500 </w:t>
            </w:r>
            <w:r w:rsidRPr="0031709B">
              <w:rPr>
                <w:rFonts w:asciiTheme="minorHAnsi" w:eastAsia="Calibri" w:hAnsiTheme="minorHAnsi" w:cstheme="minorHAnsi"/>
                <w:szCs w:val="22"/>
                <w:lang w:eastAsia="en-US"/>
              </w:rPr>
              <w:t>ml</w:t>
            </w:r>
            <w:r w:rsidRPr="0031709B">
              <w:rPr>
                <w:rFonts w:asciiTheme="minorHAnsi" w:eastAsia="Calibri" w:hAnsiTheme="minorHAnsi" w:cstheme="minorHAnsi"/>
                <w:szCs w:val="22"/>
                <w:lang w:val="el-GR" w:eastAsia="en-US"/>
              </w:rPr>
              <w:t xml:space="preserve"> και δύο συμπληρώματα, ένα διάλυμα συγκέντρωσης 50</w:t>
            </w:r>
            <w:r w:rsidRPr="0031709B">
              <w:rPr>
                <w:rFonts w:asciiTheme="minorHAnsi" w:eastAsia="Calibri" w:hAnsiTheme="minorHAnsi" w:cstheme="minorHAnsi"/>
                <w:szCs w:val="22"/>
                <w:lang w:eastAsia="en-US"/>
              </w:rPr>
              <w:t>X</w:t>
            </w:r>
            <w:r w:rsidRPr="0031709B">
              <w:rPr>
                <w:rFonts w:asciiTheme="minorHAnsi" w:eastAsia="Calibri" w:hAnsiTheme="minorHAnsi" w:cstheme="minorHAnsi"/>
                <w:szCs w:val="22"/>
                <w:lang w:val="el-GR" w:eastAsia="en-US"/>
              </w:rPr>
              <w:t xml:space="preserve"> σε συσκευασία 10 </w:t>
            </w:r>
            <w:r w:rsidRPr="0031709B">
              <w:rPr>
                <w:rFonts w:asciiTheme="minorHAnsi" w:eastAsia="Calibri" w:hAnsiTheme="minorHAnsi" w:cstheme="minorHAnsi"/>
                <w:szCs w:val="22"/>
                <w:lang w:eastAsia="en-US"/>
              </w:rPr>
              <w:t>ml</w:t>
            </w:r>
            <w:r w:rsidRPr="0031709B">
              <w:rPr>
                <w:rFonts w:asciiTheme="minorHAnsi" w:eastAsia="Calibri" w:hAnsiTheme="minorHAnsi" w:cstheme="minorHAnsi"/>
                <w:szCs w:val="22"/>
                <w:lang w:val="el-GR" w:eastAsia="en-US"/>
              </w:rPr>
              <w:t xml:space="preserve"> και ένα διάλυμα συγκέντρωσης 1000</w:t>
            </w:r>
            <w:r w:rsidRPr="0031709B">
              <w:rPr>
                <w:rFonts w:asciiTheme="minorHAnsi" w:eastAsia="Calibri" w:hAnsiTheme="minorHAnsi" w:cstheme="minorHAnsi"/>
                <w:szCs w:val="22"/>
                <w:lang w:eastAsia="en-US"/>
              </w:rPr>
              <w:t>X</w:t>
            </w:r>
            <w:r w:rsidRPr="0031709B">
              <w:rPr>
                <w:rFonts w:asciiTheme="minorHAnsi" w:eastAsia="Calibri" w:hAnsiTheme="minorHAnsi" w:cstheme="minorHAnsi"/>
                <w:szCs w:val="22"/>
                <w:lang w:val="el-GR" w:eastAsia="en-US"/>
              </w:rPr>
              <w:t xml:space="preserve"> σε συσκευασία 500 µ</w:t>
            </w:r>
            <w:r w:rsidRPr="0031709B">
              <w:rPr>
                <w:rFonts w:asciiTheme="minorHAnsi" w:eastAsia="Calibri" w:hAnsiTheme="minorHAnsi" w:cstheme="minorHAnsi"/>
                <w:szCs w:val="22"/>
                <w:lang w:eastAsia="en-US"/>
              </w:rPr>
              <w:t>L</w:t>
            </w:r>
            <w:r w:rsidRPr="0031709B">
              <w:rPr>
                <w:rFonts w:asciiTheme="minorHAnsi" w:eastAsia="Calibri" w:hAnsiTheme="minorHAnsi" w:cstheme="minorHAnsi"/>
                <w:szCs w:val="22"/>
                <w:lang w:val="el-GR" w:eastAsia="en-US"/>
              </w:rPr>
              <w:t>.</w:t>
            </w: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4115F7" w:rsidTr="003A6119">
        <w:trPr>
          <w:trHeight w:val="557"/>
        </w:trPr>
        <w:tc>
          <w:tcPr>
            <w:tcW w:w="359" w:type="pct"/>
            <w:shd w:val="clear" w:color="auto" w:fill="auto"/>
            <w:vAlign w:val="center"/>
          </w:tcPr>
          <w:p w:rsidR="004115F7" w:rsidRPr="00252D4B" w:rsidRDefault="004115F7" w:rsidP="003A6119">
            <w:pPr>
              <w:spacing w:line="276" w:lineRule="auto"/>
              <w:jc w:val="center"/>
              <w:rPr>
                <w:rFonts w:asciiTheme="minorHAnsi" w:eastAsia="Calibri" w:hAnsiTheme="minorHAnsi" w:cstheme="minorHAnsi"/>
                <w:szCs w:val="22"/>
                <w:lang w:val="el-GR" w:eastAsia="en-US"/>
              </w:rPr>
            </w:pPr>
            <w:r>
              <w:rPr>
                <w:rFonts w:asciiTheme="minorHAnsi" w:eastAsia="Calibri" w:hAnsiTheme="minorHAnsi" w:cstheme="minorHAnsi"/>
                <w:szCs w:val="22"/>
                <w:lang w:val="el-GR" w:eastAsia="en-US"/>
              </w:rPr>
              <w:t>13</w:t>
            </w:r>
          </w:p>
        </w:tc>
        <w:tc>
          <w:tcPr>
            <w:tcW w:w="2133" w:type="pct"/>
            <w:shd w:val="clear" w:color="auto" w:fill="auto"/>
            <w:vAlign w:val="center"/>
          </w:tcPr>
          <w:p w:rsidR="004115F7" w:rsidRPr="00252D4B" w:rsidRDefault="004115F7" w:rsidP="003A6119">
            <w:pPr>
              <w:pStyle w:val="a3"/>
              <w:spacing w:after="0" w:line="252" w:lineRule="auto"/>
              <w:ind w:left="0"/>
              <w:jc w:val="both"/>
              <w:rPr>
                <w:bCs/>
                <w:lang w:val="el-GR" w:eastAsia="el-GR"/>
              </w:rPr>
            </w:pPr>
            <w:r w:rsidRPr="00252D4B">
              <w:rPr>
                <w:bCs/>
                <w:lang w:val="el-GR"/>
              </w:rPr>
              <w:t xml:space="preserve">Με την τεχνική προσφορά οι υποψήφιοι ανάδοχοι απαιτείται να προσκομίζουν Αποδεικτικά ή Υπεύθυνη Δήλωση όπου θα δηλώνεται ότι είναι επίσημοι αντιπρόσωποι της Κατασκευάστριας Εταιρείας. </w:t>
            </w:r>
          </w:p>
          <w:p w:rsidR="004115F7" w:rsidRPr="00252D4B" w:rsidRDefault="004115F7" w:rsidP="003A6119">
            <w:pPr>
              <w:spacing w:line="276" w:lineRule="auto"/>
              <w:jc w:val="center"/>
              <w:rPr>
                <w:rFonts w:asciiTheme="minorHAnsi" w:eastAsia="Calibri" w:hAnsiTheme="minorHAnsi" w:cstheme="minorHAnsi"/>
                <w:szCs w:val="22"/>
                <w:lang w:val="el-GR" w:eastAsia="en-US"/>
              </w:rPr>
            </w:pP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r w:rsidR="004115F7" w:rsidRPr="004115F7" w:rsidTr="003A6119">
        <w:trPr>
          <w:trHeight w:val="1949"/>
        </w:trPr>
        <w:tc>
          <w:tcPr>
            <w:tcW w:w="359" w:type="pct"/>
            <w:shd w:val="clear" w:color="auto" w:fill="auto"/>
            <w:vAlign w:val="center"/>
          </w:tcPr>
          <w:p w:rsidR="004115F7" w:rsidRPr="00252D4B" w:rsidRDefault="004115F7" w:rsidP="003A6119">
            <w:pPr>
              <w:spacing w:line="276" w:lineRule="auto"/>
              <w:jc w:val="center"/>
              <w:rPr>
                <w:rFonts w:asciiTheme="minorHAnsi" w:eastAsia="Calibri" w:hAnsiTheme="minorHAnsi" w:cstheme="minorHAnsi"/>
                <w:szCs w:val="22"/>
                <w:lang w:val="el-GR" w:eastAsia="en-US"/>
              </w:rPr>
            </w:pPr>
            <w:r>
              <w:rPr>
                <w:rFonts w:asciiTheme="minorHAnsi" w:eastAsia="Calibri" w:hAnsiTheme="minorHAnsi" w:cstheme="minorHAnsi"/>
                <w:szCs w:val="22"/>
                <w:lang w:val="el-GR" w:eastAsia="en-US"/>
              </w:rPr>
              <w:lastRenderedPageBreak/>
              <w:t>14</w:t>
            </w:r>
          </w:p>
        </w:tc>
        <w:tc>
          <w:tcPr>
            <w:tcW w:w="2133" w:type="pct"/>
            <w:shd w:val="clear" w:color="auto" w:fill="auto"/>
            <w:vAlign w:val="center"/>
          </w:tcPr>
          <w:p w:rsidR="004115F7" w:rsidRPr="00252D4B" w:rsidRDefault="004115F7" w:rsidP="003A6119">
            <w:pPr>
              <w:rPr>
                <w:bCs/>
                <w:lang w:val="el-GR"/>
              </w:rPr>
            </w:pPr>
            <w:r w:rsidRPr="00252D4B">
              <w:rPr>
                <w:bCs/>
                <w:lang w:val="el-GR"/>
              </w:rPr>
              <w:t xml:space="preserve">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 </w:t>
            </w:r>
            <w:r w:rsidRPr="00252D4B">
              <w:rPr>
                <w:bCs/>
              </w:rPr>
              <w:t> </w:t>
            </w:r>
          </w:p>
          <w:p w:rsidR="004115F7" w:rsidRPr="00252D4B" w:rsidRDefault="004115F7" w:rsidP="003A6119">
            <w:pPr>
              <w:rPr>
                <w:bCs/>
                <w:lang w:val="el-GR"/>
              </w:rPr>
            </w:pPr>
          </w:p>
          <w:p w:rsidR="004115F7" w:rsidRPr="00252D4B" w:rsidRDefault="004115F7" w:rsidP="003A6119">
            <w:pPr>
              <w:spacing w:line="276" w:lineRule="auto"/>
              <w:jc w:val="center"/>
              <w:rPr>
                <w:rFonts w:asciiTheme="minorHAnsi" w:eastAsia="Calibri" w:hAnsiTheme="minorHAnsi" w:cstheme="minorHAnsi"/>
                <w:szCs w:val="22"/>
                <w:lang w:val="el-GR" w:eastAsia="en-US"/>
              </w:rPr>
            </w:pPr>
          </w:p>
        </w:tc>
        <w:tc>
          <w:tcPr>
            <w:tcW w:w="59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615"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c>
          <w:tcPr>
            <w:tcW w:w="1298" w:type="pct"/>
          </w:tcPr>
          <w:p w:rsidR="004115F7" w:rsidRPr="0031709B" w:rsidRDefault="004115F7" w:rsidP="003A6119">
            <w:pPr>
              <w:spacing w:line="276" w:lineRule="auto"/>
              <w:jc w:val="center"/>
              <w:rPr>
                <w:rFonts w:asciiTheme="minorHAnsi" w:eastAsia="Calibri" w:hAnsiTheme="minorHAnsi" w:cstheme="minorHAnsi"/>
                <w:szCs w:val="22"/>
                <w:lang w:val="el-GR" w:eastAsia="en-US"/>
              </w:rPr>
            </w:pPr>
          </w:p>
        </w:tc>
      </w:tr>
    </w:tbl>
    <w:p w:rsidR="004115F7" w:rsidRDefault="004115F7" w:rsidP="004115F7">
      <w:pPr>
        <w:pStyle w:val="normalwithoutspacing"/>
        <w:rPr>
          <w:rFonts w:asciiTheme="minorHAnsi" w:hAnsiTheme="minorHAnsi"/>
          <w:b/>
          <w:szCs w:val="22"/>
          <w:u w:val="single"/>
        </w:rPr>
      </w:pPr>
    </w:p>
    <w:p w:rsidR="004115F7" w:rsidRDefault="004115F7" w:rsidP="004115F7">
      <w:pPr>
        <w:pStyle w:val="normalwithoutspacing"/>
        <w:rPr>
          <w:rFonts w:asciiTheme="minorHAnsi" w:hAnsiTheme="minorHAnsi"/>
          <w:b/>
          <w:szCs w:val="22"/>
          <w:u w:val="single"/>
        </w:rPr>
      </w:pPr>
    </w:p>
    <w:p w:rsidR="004115F7" w:rsidRDefault="004115F7" w:rsidP="004115F7">
      <w:pPr>
        <w:rPr>
          <w:rFonts w:asciiTheme="minorHAnsi" w:hAnsiTheme="minorHAnsi"/>
          <w:b/>
          <w:szCs w:val="22"/>
          <w:u w:val="single"/>
          <w:lang w:val="el-GR"/>
        </w:rPr>
      </w:pPr>
    </w:p>
    <w:p w:rsidR="004115F7" w:rsidRPr="00252D4B" w:rsidRDefault="004115F7" w:rsidP="004115F7">
      <w:pPr>
        <w:rPr>
          <w:b/>
          <w:bCs/>
          <w:lang w:val="el-GR"/>
        </w:rPr>
      </w:pPr>
    </w:p>
    <w:p w:rsidR="004115F7" w:rsidRPr="004115F7" w:rsidRDefault="004115F7">
      <w:pPr>
        <w:rPr>
          <w:lang w:val="el-GR"/>
        </w:rPr>
      </w:pPr>
    </w:p>
    <w:sectPr w:rsidR="004115F7" w:rsidRPr="004115F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91" w:rsidRDefault="00466391" w:rsidP="004115F7">
      <w:pPr>
        <w:spacing w:after="0"/>
      </w:pPr>
      <w:r>
        <w:separator/>
      </w:r>
    </w:p>
  </w:endnote>
  <w:endnote w:type="continuationSeparator" w:id="0">
    <w:p w:rsidR="00466391" w:rsidRDefault="00466391" w:rsidP="00411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190821"/>
      <w:docPartObj>
        <w:docPartGallery w:val="Page Numbers (Bottom of Page)"/>
        <w:docPartUnique/>
      </w:docPartObj>
    </w:sdtPr>
    <w:sdtEndPr>
      <w:rPr>
        <w:noProof/>
      </w:rPr>
    </w:sdtEndPr>
    <w:sdtContent>
      <w:p w:rsidR="004115F7" w:rsidRDefault="004115F7">
        <w:pPr>
          <w:pStyle w:val="a5"/>
          <w:jc w:val="right"/>
        </w:pPr>
        <w:r>
          <w:fldChar w:fldCharType="begin"/>
        </w:r>
        <w:r>
          <w:instrText xml:space="preserve"> PAGE   \* MERGEFORMAT </w:instrText>
        </w:r>
        <w:r>
          <w:fldChar w:fldCharType="separate"/>
        </w:r>
        <w:r w:rsidR="00C73A53">
          <w:rPr>
            <w:noProof/>
          </w:rPr>
          <w:t>1</w:t>
        </w:r>
        <w:r>
          <w:rPr>
            <w:noProof/>
          </w:rPr>
          <w:fldChar w:fldCharType="end"/>
        </w:r>
      </w:p>
    </w:sdtContent>
  </w:sdt>
  <w:p w:rsidR="004115F7" w:rsidRDefault="004115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91" w:rsidRDefault="00466391" w:rsidP="004115F7">
      <w:pPr>
        <w:spacing w:after="0"/>
      </w:pPr>
      <w:r>
        <w:separator/>
      </w:r>
    </w:p>
  </w:footnote>
  <w:footnote w:type="continuationSeparator" w:id="0">
    <w:p w:rsidR="00466391" w:rsidRDefault="00466391" w:rsidP="004115F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F7"/>
    <w:rsid w:val="004115F7"/>
    <w:rsid w:val="00466391"/>
    <w:rsid w:val="00C73A53"/>
    <w:rsid w:val="00FE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30707-1F56-49FA-A51F-EE2213C7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5F7"/>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4115F7"/>
    <w:pPr>
      <w:spacing w:after="60"/>
    </w:pPr>
    <w:rPr>
      <w:lang w:val="el-GR"/>
    </w:rPr>
  </w:style>
  <w:style w:type="paragraph" w:styleId="a3">
    <w:name w:val="List Paragraph"/>
    <w:basedOn w:val="a"/>
    <w:uiPriority w:val="34"/>
    <w:qFormat/>
    <w:rsid w:val="004115F7"/>
    <w:pPr>
      <w:suppressAutoHyphens w:val="0"/>
      <w:spacing w:after="200" w:line="276" w:lineRule="auto"/>
      <w:ind w:left="720"/>
      <w:jc w:val="left"/>
    </w:pPr>
    <w:rPr>
      <w:szCs w:val="22"/>
      <w:lang w:val="en-US" w:eastAsia="en-US"/>
    </w:rPr>
  </w:style>
  <w:style w:type="paragraph" w:styleId="a4">
    <w:name w:val="header"/>
    <w:basedOn w:val="a"/>
    <w:link w:val="Char"/>
    <w:uiPriority w:val="99"/>
    <w:unhideWhenUsed/>
    <w:rsid w:val="004115F7"/>
    <w:pPr>
      <w:tabs>
        <w:tab w:val="center" w:pos="4153"/>
        <w:tab w:val="right" w:pos="8306"/>
      </w:tabs>
      <w:spacing w:after="0"/>
    </w:pPr>
  </w:style>
  <w:style w:type="character" w:customStyle="1" w:styleId="Char">
    <w:name w:val="Κεφαλίδα Char"/>
    <w:basedOn w:val="a0"/>
    <w:link w:val="a4"/>
    <w:uiPriority w:val="99"/>
    <w:rsid w:val="004115F7"/>
    <w:rPr>
      <w:rFonts w:ascii="Calibri" w:eastAsia="Times New Roman" w:hAnsi="Calibri" w:cs="Calibri"/>
      <w:szCs w:val="24"/>
      <w:lang w:eastAsia="zh-CN"/>
    </w:rPr>
  </w:style>
  <w:style w:type="paragraph" w:styleId="a5">
    <w:name w:val="footer"/>
    <w:basedOn w:val="a"/>
    <w:link w:val="Char0"/>
    <w:uiPriority w:val="99"/>
    <w:unhideWhenUsed/>
    <w:rsid w:val="004115F7"/>
    <w:pPr>
      <w:tabs>
        <w:tab w:val="center" w:pos="4153"/>
        <w:tab w:val="right" w:pos="8306"/>
      </w:tabs>
      <w:spacing w:after="0"/>
    </w:pPr>
  </w:style>
  <w:style w:type="character" w:customStyle="1" w:styleId="Char0">
    <w:name w:val="Υποσέλιδο Char"/>
    <w:basedOn w:val="a0"/>
    <w:link w:val="a5"/>
    <w:uiPriority w:val="99"/>
    <w:rsid w:val="004115F7"/>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5646</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2021-04-12T08:18:00Z</dcterms:created>
  <dcterms:modified xsi:type="dcterms:W3CDTF">2021-04-12T08:18:00Z</dcterms:modified>
</cp:coreProperties>
</file>