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C3" w:rsidRPr="00C53907" w:rsidRDefault="005721C3" w:rsidP="005721C3">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5721C3" w:rsidRDefault="005721C3" w:rsidP="005721C3">
      <w:pPr>
        <w:pStyle w:val="normalwithoutspacing"/>
        <w:rPr>
          <w:rFonts w:asciiTheme="minorHAnsi" w:hAnsiTheme="minorHAnsi"/>
          <w:szCs w:val="22"/>
        </w:rPr>
      </w:pPr>
    </w:p>
    <w:p w:rsidR="005721C3" w:rsidRPr="00C53907" w:rsidRDefault="005721C3" w:rsidP="005721C3">
      <w:pPr>
        <w:pStyle w:val="normalwithoutspacing"/>
        <w:rPr>
          <w:rFonts w:asciiTheme="minorHAnsi" w:hAnsi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279"/>
        <w:gridCol w:w="1168"/>
        <w:gridCol w:w="1037"/>
        <w:gridCol w:w="1783"/>
      </w:tblGrid>
      <w:tr w:rsidR="005721C3" w:rsidRPr="006C4D32" w:rsidTr="00B8048C">
        <w:trPr>
          <w:trHeight w:val="300"/>
          <w:jc w:val="center"/>
        </w:trPr>
        <w:tc>
          <w:tcPr>
            <w:tcW w:w="41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721C3" w:rsidRPr="006C4D32" w:rsidRDefault="005721C3" w:rsidP="00B8048C">
            <w:pPr>
              <w:suppressAutoHyphens w:val="0"/>
              <w:jc w:val="center"/>
              <w:rPr>
                <w:rFonts w:asciiTheme="minorHAnsi" w:hAnsiTheme="minorHAnsi" w:cstheme="minorHAnsi"/>
                <w:b/>
                <w:bCs/>
                <w:color w:val="000000"/>
                <w:szCs w:val="22"/>
                <w:lang w:val="en-US" w:eastAsia="en-US"/>
              </w:rPr>
            </w:pPr>
            <w:r w:rsidRPr="006C4D32">
              <w:rPr>
                <w:rFonts w:asciiTheme="minorHAnsi" w:hAnsiTheme="minorHAnsi" w:cstheme="minorHAnsi"/>
                <w:b/>
                <w:bCs/>
                <w:color w:val="000000"/>
                <w:szCs w:val="22"/>
                <w:lang w:val="en-US" w:eastAsia="en-US"/>
              </w:rPr>
              <w:t>A/A</w:t>
            </w:r>
          </w:p>
        </w:tc>
        <w:tc>
          <w:tcPr>
            <w:tcW w:w="237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721C3" w:rsidRPr="006C4D32" w:rsidRDefault="005721C3" w:rsidP="00B8048C">
            <w:pPr>
              <w:suppressAutoHyphens w:val="0"/>
              <w:jc w:val="center"/>
              <w:rPr>
                <w:rFonts w:asciiTheme="minorHAnsi" w:hAnsiTheme="minorHAnsi" w:cstheme="minorHAnsi"/>
                <w:b/>
                <w:bCs/>
                <w:color w:val="000000"/>
                <w:szCs w:val="22"/>
                <w:lang w:val="en-US" w:eastAsia="en-US"/>
              </w:rPr>
            </w:pPr>
            <w:r w:rsidRPr="006C4D32">
              <w:rPr>
                <w:rFonts w:asciiTheme="minorHAnsi" w:hAnsiTheme="minorHAnsi" w:cstheme="minorHAnsi"/>
                <w:b/>
                <w:bCs/>
                <w:color w:val="000000"/>
                <w:szCs w:val="22"/>
                <w:lang w:val="en-US" w:eastAsia="en-US"/>
              </w:rPr>
              <w:t>Τεχνικές προδιαγραφες</w:t>
            </w:r>
          </w:p>
        </w:tc>
        <w:tc>
          <w:tcPr>
            <w:tcW w:w="648" w:type="pct"/>
            <w:tcBorders>
              <w:top w:val="single" w:sz="4" w:space="0" w:color="auto"/>
              <w:left w:val="single" w:sz="4" w:space="0" w:color="auto"/>
              <w:bottom w:val="single" w:sz="4" w:space="0" w:color="auto"/>
              <w:right w:val="single" w:sz="4" w:space="0" w:color="auto"/>
            </w:tcBorders>
            <w:shd w:val="clear" w:color="000000" w:fill="D9D9D9"/>
          </w:tcPr>
          <w:p w:rsidR="005721C3" w:rsidRDefault="005721C3" w:rsidP="00B8048C">
            <w:pPr>
              <w:suppressAutoHyphens w:val="0"/>
              <w:jc w:val="center"/>
              <w:rPr>
                <w:rFonts w:asciiTheme="minorHAnsi" w:hAnsiTheme="minorHAnsi" w:cstheme="minorHAnsi"/>
                <w:b/>
                <w:bCs/>
                <w:color w:val="000000"/>
                <w:szCs w:val="22"/>
                <w:lang w:val="el-GR" w:eastAsia="en-US"/>
              </w:rPr>
            </w:pPr>
          </w:p>
          <w:p w:rsidR="005721C3" w:rsidRPr="00424D58" w:rsidRDefault="005721C3" w:rsidP="00B8048C">
            <w:pPr>
              <w:suppressAutoHyphens w:val="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ΝΑΙ</w:t>
            </w:r>
          </w:p>
          <w:p w:rsidR="005721C3" w:rsidRPr="00424D58" w:rsidRDefault="005721C3" w:rsidP="00B8048C">
            <w:pPr>
              <w:suppressAutoHyphens w:val="0"/>
              <w:jc w:val="center"/>
              <w:rPr>
                <w:rFonts w:asciiTheme="minorHAnsi" w:hAnsiTheme="minorHAnsi" w:cstheme="minorHAnsi"/>
                <w:b/>
                <w:bCs/>
                <w:color w:val="000000"/>
                <w:szCs w:val="22"/>
                <w:lang w:val="el-GR" w:eastAsia="en-US"/>
              </w:rPr>
            </w:pPr>
          </w:p>
        </w:tc>
        <w:tc>
          <w:tcPr>
            <w:tcW w:w="575" w:type="pct"/>
            <w:tcBorders>
              <w:top w:val="single" w:sz="4" w:space="0" w:color="auto"/>
              <w:left w:val="single" w:sz="4" w:space="0" w:color="auto"/>
              <w:bottom w:val="single" w:sz="4" w:space="0" w:color="auto"/>
              <w:right w:val="single" w:sz="4" w:space="0" w:color="auto"/>
            </w:tcBorders>
            <w:shd w:val="clear" w:color="000000" w:fill="D9D9D9"/>
          </w:tcPr>
          <w:p w:rsidR="005721C3" w:rsidRDefault="005721C3" w:rsidP="00B8048C">
            <w:pPr>
              <w:suppressAutoHyphens w:val="0"/>
              <w:jc w:val="center"/>
              <w:rPr>
                <w:rFonts w:asciiTheme="minorHAnsi" w:hAnsiTheme="minorHAnsi" w:cstheme="minorHAnsi"/>
                <w:b/>
                <w:bCs/>
                <w:color w:val="000000"/>
                <w:szCs w:val="22"/>
                <w:lang w:val="en-US" w:eastAsia="en-US"/>
              </w:rPr>
            </w:pPr>
          </w:p>
          <w:p w:rsidR="005721C3" w:rsidRPr="00424D58" w:rsidRDefault="005721C3" w:rsidP="00B8048C">
            <w:pPr>
              <w:suppressAutoHyphens w:val="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ΟΧΙ</w:t>
            </w:r>
          </w:p>
        </w:tc>
        <w:tc>
          <w:tcPr>
            <w:tcW w:w="989" w:type="pct"/>
            <w:tcBorders>
              <w:top w:val="single" w:sz="4" w:space="0" w:color="auto"/>
              <w:left w:val="single" w:sz="4" w:space="0" w:color="auto"/>
              <w:bottom w:val="single" w:sz="4" w:space="0" w:color="auto"/>
              <w:right w:val="single" w:sz="4" w:space="0" w:color="auto"/>
            </w:tcBorders>
            <w:shd w:val="clear" w:color="000000" w:fill="D9D9D9"/>
          </w:tcPr>
          <w:p w:rsidR="005721C3" w:rsidRDefault="005721C3" w:rsidP="00B8048C">
            <w:pPr>
              <w:suppressAutoHyphens w:val="0"/>
              <w:jc w:val="center"/>
              <w:rPr>
                <w:rFonts w:asciiTheme="minorHAnsi" w:hAnsiTheme="minorHAnsi" w:cstheme="minorHAnsi"/>
                <w:b/>
                <w:bCs/>
                <w:color w:val="000000"/>
                <w:szCs w:val="22"/>
                <w:lang w:val="en-US" w:eastAsia="en-US"/>
              </w:rPr>
            </w:pPr>
          </w:p>
          <w:p w:rsidR="005721C3" w:rsidRPr="00424D58" w:rsidRDefault="005721C3" w:rsidP="00B8048C">
            <w:pPr>
              <w:suppressAutoHyphens w:val="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ΠΑΡΑΠΟΜΠΗ</w:t>
            </w:r>
          </w:p>
        </w:tc>
      </w:tr>
      <w:tr w:rsidR="005721C3" w:rsidRPr="005721C3" w:rsidTr="00B8048C">
        <w:trPr>
          <w:trHeight w:val="2255"/>
          <w:jc w:val="center"/>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Default="005721C3" w:rsidP="00B8048C">
            <w:pPr>
              <w:rPr>
                <w:rFonts w:asciiTheme="minorHAnsi" w:hAnsiTheme="minorHAnsi" w:cstheme="minorHAnsi"/>
                <w:szCs w:val="22"/>
                <w:lang w:val="en-US" w:eastAsia="en-US"/>
              </w:rPr>
            </w:pPr>
          </w:p>
          <w:p w:rsidR="005721C3" w:rsidRPr="00A65986" w:rsidRDefault="005721C3" w:rsidP="00B8048C">
            <w:pPr>
              <w:rPr>
                <w:rFonts w:asciiTheme="minorHAnsi" w:hAnsiTheme="minorHAnsi" w:cstheme="minorHAnsi"/>
                <w:szCs w:val="22"/>
                <w:lang w:val="el-GR" w:eastAsia="en-US"/>
              </w:rPr>
            </w:pPr>
            <w:r>
              <w:rPr>
                <w:rFonts w:asciiTheme="minorHAnsi" w:hAnsiTheme="minorHAnsi" w:cstheme="minorHAnsi"/>
                <w:szCs w:val="22"/>
                <w:lang w:val="el-GR" w:eastAsia="en-US"/>
              </w:rPr>
              <w:t xml:space="preserve">    1</w:t>
            </w: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p w:rsidR="005721C3" w:rsidRDefault="005721C3" w:rsidP="00B8048C">
            <w:pPr>
              <w:rPr>
                <w:rFonts w:asciiTheme="minorHAnsi" w:hAnsiTheme="minorHAnsi" w:cstheme="minorHAnsi"/>
                <w:szCs w:val="22"/>
                <w:lang w:val="en-US" w:eastAsia="en-US"/>
              </w:rPr>
            </w:pPr>
          </w:p>
          <w:p w:rsidR="005721C3" w:rsidRPr="008C3898" w:rsidRDefault="005721C3" w:rsidP="00B8048C">
            <w:pPr>
              <w:rPr>
                <w:rFonts w:asciiTheme="minorHAnsi" w:hAnsiTheme="minorHAnsi" w:cstheme="minorHAnsi"/>
                <w:szCs w:val="22"/>
                <w:lang w:val="en-US" w:eastAsia="en-US"/>
              </w:rPr>
            </w:pPr>
          </w:p>
        </w:tc>
        <w:tc>
          <w:tcPr>
            <w:tcW w:w="23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Πιάτα κρυσταλλώσεως πρωτεϊνών τύπου </w:t>
            </w:r>
            <w:r w:rsidRPr="006C4D32">
              <w:rPr>
                <w:rFonts w:asciiTheme="minorHAnsi" w:hAnsiTheme="minorHAnsi" w:cstheme="minorHAnsi"/>
                <w:color w:val="000000"/>
                <w:szCs w:val="22"/>
                <w:lang w:val="en-US" w:eastAsia="en-US"/>
              </w:rPr>
              <w:t>SWISSCI</w:t>
            </w:r>
            <w:r w:rsidRPr="006C4D32">
              <w:rPr>
                <w:rFonts w:asciiTheme="minorHAnsi" w:hAnsiTheme="minorHAnsi" w:cstheme="minorHAnsi"/>
                <w:color w:val="000000"/>
                <w:szCs w:val="22"/>
                <w:lang w:val="el-GR" w:eastAsia="en-US"/>
              </w:rPr>
              <w:t xml:space="preserve"> 96 θέσεων διαλυμάτων εξισορρόπησης (συνθηκών κρυστάλλωσης) από πολυστυρένιο που θα περιέχουν δύο θέσεις εναπόθεσης διαλύματος πρωτείνης ανά συνθήκη κρυστάλλωσης (τεχνική καθήμενης σταγόνας) κωνικού σχήματος. Τα πιάτα θα πρέπει να είναι ενιαία (όχι σε γέφυρες), τύπου </w:t>
            </w:r>
            <w:r w:rsidRPr="006C4D32">
              <w:rPr>
                <w:rFonts w:asciiTheme="minorHAnsi" w:hAnsiTheme="minorHAnsi" w:cstheme="minorHAnsi"/>
                <w:color w:val="000000"/>
                <w:szCs w:val="22"/>
                <w:lang w:val="en-US" w:eastAsia="en-US"/>
              </w:rPr>
              <w:t>MRC</w:t>
            </w:r>
            <w:r w:rsidRPr="006C4D32">
              <w:rPr>
                <w:rFonts w:asciiTheme="minorHAnsi" w:hAnsiTheme="minorHAnsi" w:cstheme="minorHAnsi"/>
                <w:color w:val="000000"/>
                <w:szCs w:val="22"/>
                <w:lang w:val="el-GR" w:eastAsia="en-US"/>
              </w:rPr>
              <w:t xml:space="preserve"> 2 </w:t>
            </w:r>
            <w:r w:rsidRPr="006C4D32">
              <w:rPr>
                <w:rFonts w:asciiTheme="minorHAnsi" w:hAnsiTheme="minorHAnsi" w:cstheme="minorHAnsi"/>
                <w:color w:val="000000"/>
                <w:szCs w:val="22"/>
                <w:lang w:val="en-US" w:eastAsia="en-US"/>
              </w:rPr>
              <w:t>well</w:t>
            </w:r>
            <w:r w:rsidRPr="006C4D32">
              <w:rPr>
                <w:rFonts w:asciiTheme="minorHAnsi" w:hAnsiTheme="minorHAnsi" w:cstheme="minorHAnsi"/>
                <w:color w:val="000000"/>
                <w:szCs w:val="22"/>
                <w:lang w:val="el-GR" w:eastAsia="en-US"/>
              </w:rPr>
              <w:t xml:space="preserve"> ώστε να είναι απολύτως συμβατά με το ρομποτικό σύστημα κρυσταλλώσεων μακρομορίων </w:t>
            </w:r>
            <w:r w:rsidRPr="006C4D32">
              <w:rPr>
                <w:rFonts w:asciiTheme="minorHAnsi" w:hAnsiTheme="minorHAnsi" w:cstheme="minorHAnsi"/>
                <w:color w:val="000000"/>
                <w:szCs w:val="22"/>
                <w:lang w:val="en-US" w:eastAsia="en-US"/>
              </w:rPr>
              <w:t>Oryx</w:t>
            </w:r>
            <w:r w:rsidRPr="006C4D32">
              <w:rPr>
                <w:rFonts w:asciiTheme="minorHAnsi" w:hAnsiTheme="minorHAnsi" w:cstheme="minorHAnsi"/>
                <w:color w:val="000000"/>
                <w:szCs w:val="22"/>
                <w:lang w:val="el-GR" w:eastAsia="en-US"/>
              </w:rPr>
              <w:t xml:space="preserve">4 της εταιρείας </w:t>
            </w:r>
            <w:r w:rsidRPr="006C4D32">
              <w:rPr>
                <w:rFonts w:asciiTheme="minorHAnsi" w:hAnsiTheme="minorHAnsi" w:cstheme="minorHAnsi"/>
                <w:color w:val="000000"/>
                <w:szCs w:val="22"/>
                <w:lang w:val="en-US" w:eastAsia="en-US"/>
              </w:rPr>
              <w:t>Douglas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Instruments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LTD</w:t>
            </w:r>
            <w:r w:rsidRPr="006C4D32">
              <w:rPr>
                <w:rFonts w:asciiTheme="minorHAnsi" w:hAnsiTheme="minorHAnsi" w:cstheme="minorHAnsi"/>
                <w:color w:val="000000"/>
                <w:szCs w:val="22"/>
                <w:lang w:val="el-GR" w:eastAsia="en-US"/>
              </w:rPr>
              <w:t xml:space="preserve"> που διαθέτει το Ελληνικό Ινστιτούτο Παστέρ. Συγκεκριμένα, πρέπει να έχουν την διάταξη </w:t>
            </w:r>
            <w:r w:rsidRPr="006C4D32">
              <w:rPr>
                <w:rFonts w:asciiTheme="minorHAnsi" w:hAnsiTheme="minorHAnsi" w:cstheme="minorHAnsi"/>
                <w:color w:val="000000"/>
                <w:szCs w:val="22"/>
                <w:lang w:val="en-US" w:eastAsia="en-US"/>
              </w:rPr>
              <w:t>Standard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ANSI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SLAS</w:t>
            </w:r>
            <w:r w:rsidRPr="006C4D32">
              <w:rPr>
                <w:rFonts w:asciiTheme="minorHAnsi" w:hAnsiTheme="minorHAnsi" w:cstheme="minorHAnsi"/>
                <w:color w:val="000000"/>
                <w:szCs w:val="22"/>
                <w:lang w:val="el-GR" w:eastAsia="en-US"/>
              </w:rPr>
              <w:t xml:space="preserve"> 1-2004 (</w:t>
            </w:r>
            <w:r w:rsidRPr="006C4D32">
              <w:rPr>
                <w:rFonts w:asciiTheme="minorHAnsi" w:hAnsiTheme="minorHAnsi" w:cstheme="minorHAnsi"/>
                <w:color w:val="000000"/>
                <w:szCs w:val="22"/>
                <w:lang w:val="en-US" w:eastAsia="en-US"/>
              </w:rPr>
              <w:t>SBS</w:t>
            </w:r>
            <w:r w:rsidRPr="006C4D32">
              <w:rPr>
                <w:rFonts w:asciiTheme="minorHAnsi" w:hAnsiTheme="minorHAnsi" w:cstheme="minorHAnsi"/>
                <w:color w:val="000000"/>
                <w:szCs w:val="22"/>
                <w:lang w:val="el-GR" w:eastAsia="en-US"/>
              </w:rPr>
              <w:t xml:space="preserve">), να δέχονται σταγόνες όγκου 100 </w:t>
            </w:r>
            <w:r w:rsidRPr="006C4D32">
              <w:rPr>
                <w:rFonts w:asciiTheme="minorHAnsi" w:hAnsiTheme="minorHAnsi" w:cstheme="minorHAnsi"/>
                <w:color w:val="000000"/>
                <w:szCs w:val="22"/>
                <w:lang w:val="en-US" w:eastAsia="en-US"/>
              </w:rPr>
              <w:t>nl</w:t>
            </w:r>
            <w:r w:rsidRPr="006C4D32">
              <w:rPr>
                <w:rFonts w:asciiTheme="minorHAnsi" w:hAnsiTheme="minorHAnsi" w:cstheme="minorHAnsi"/>
                <w:color w:val="000000"/>
                <w:szCs w:val="22"/>
                <w:lang w:val="el-GR" w:eastAsia="en-US"/>
              </w:rPr>
              <w:t xml:space="preserve"> - 5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δέχονται διάλυμα εξισορρόπησης όγκου εώς 100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έχουν μικροαρίθμηση με τις συντεταγμένες κάθε θέσης δίπλα από τις σταγόνες, να είναι άκαμπτα, να έχουν ευρεία διαμερισματοποίηση ώστε να σφραγίζονται χωρίς απώλειες και να μη δημιουργούν φαινόμενα παραμόρφωσης ώστε να υπάρχει βέλτιστη οπτική παρατήρηση υπό στερεοσκοπίου. Επίσης, να είναι σε συσκευασίες των 10 τεμαχίων. Να δοθεί τιμή ανά τεμάχιο.</w:t>
            </w:r>
          </w:p>
        </w:tc>
        <w:tc>
          <w:tcPr>
            <w:tcW w:w="648"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2550"/>
          <w:jc w:val="center"/>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n-US" w:eastAsia="en-US"/>
              </w:rPr>
              <w:t>2</w:t>
            </w:r>
          </w:p>
        </w:tc>
        <w:tc>
          <w:tcPr>
            <w:tcW w:w="23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Πιάτα κρυσταλλώσεως πρωτεϊνών τύπου </w:t>
            </w:r>
            <w:r w:rsidRPr="006C4D32">
              <w:rPr>
                <w:rFonts w:asciiTheme="minorHAnsi" w:hAnsiTheme="minorHAnsi" w:cstheme="minorHAnsi"/>
                <w:color w:val="000000"/>
                <w:szCs w:val="22"/>
                <w:lang w:val="en-US" w:eastAsia="en-US"/>
              </w:rPr>
              <w:t>SWISSCI</w:t>
            </w:r>
            <w:r w:rsidRPr="006C4D32">
              <w:rPr>
                <w:rFonts w:asciiTheme="minorHAnsi" w:hAnsiTheme="minorHAnsi" w:cstheme="minorHAnsi"/>
                <w:color w:val="000000"/>
                <w:szCs w:val="22"/>
                <w:lang w:val="el-GR" w:eastAsia="en-US"/>
              </w:rPr>
              <w:t xml:space="preserve"> 96 θέσεων διαλυμάτων εξισορρόπησης (συνθηκών κρυστάλλωσης) από </w:t>
            </w:r>
            <w:r w:rsidRPr="006C4D32">
              <w:rPr>
                <w:rFonts w:asciiTheme="minorHAnsi" w:hAnsiTheme="minorHAnsi" w:cstheme="minorHAnsi"/>
                <w:color w:val="000000"/>
                <w:szCs w:val="22"/>
                <w:lang w:val="en-US" w:eastAsia="en-US"/>
              </w:rPr>
              <w:t>UVP</w:t>
            </w:r>
            <w:r w:rsidRPr="006C4D32">
              <w:rPr>
                <w:rFonts w:asciiTheme="minorHAnsi" w:hAnsiTheme="minorHAnsi" w:cstheme="minorHAnsi"/>
                <w:color w:val="000000"/>
                <w:szCs w:val="22"/>
                <w:lang w:val="el-GR" w:eastAsia="en-US"/>
              </w:rPr>
              <w:t xml:space="preserve"> πολυμερές που θα επιτρέπει τη διέλευση ακτινοβολίας </w:t>
            </w:r>
            <w:r w:rsidRPr="006C4D32">
              <w:rPr>
                <w:rFonts w:asciiTheme="minorHAnsi" w:hAnsiTheme="minorHAnsi" w:cstheme="minorHAnsi"/>
                <w:color w:val="000000"/>
                <w:szCs w:val="22"/>
                <w:lang w:val="en-US" w:eastAsia="en-US"/>
              </w:rPr>
              <w:t>UV</w:t>
            </w:r>
            <w:r w:rsidRPr="006C4D32">
              <w:rPr>
                <w:rFonts w:asciiTheme="minorHAnsi" w:hAnsiTheme="minorHAnsi" w:cstheme="minorHAnsi"/>
                <w:color w:val="000000"/>
                <w:szCs w:val="22"/>
                <w:lang w:val="el-GR" w:eastAsia="en-US"/>
              </w:rPr>
              <w:t xml:space="preserve">. Θα πρέπει επίσης να περιέχουν δύο θέσεις εναπόθεσης διαλύματος πρωτείνης ανά συνθήκη κρυστάλλωσης (τεχνική καθήμενης σταγόνας)  κωνικού σχήματος. Τα πιάτα θα πρέπει να είναι ενιαία (όχι σε γέφυρες), τύπου </w:t>
            </w:r>
            <w:r w:rsidRPr="006C4D32">
              <w:rPr>
                <w:rFonts w:asciiTheme="minorHAnsi" w:hAnsiTheme="minorHAnsi" w:cstheme="minorHAnsi"/>
                <w:color w:val="000000"/>
                <w:szCs w:val="22"/>
                <w:lang w:val="en-US" w:eastAsia="en-US"/>
              </w:rPr>
              <w:t>MRC</w:t>
            </w:r>
            <w:r w:rsidRPr="006C4D32">
              <w:rPr>
                <w:rFonts w:asciiTheme="minorHAnsi" w:hAnsiTheme="minorHAnsi" w:cstheme="minorHAnsi"/>
                <w:color w:val="000000"/>
                <w:szCs w:val="22"/>
                <w:lang w:val="el-GR" w:eastAsia="en-US"/>
              </w:rPr>
              <w:t xml:space="preserve"> 2 </w:t>
            </w:r>
            <w:r w:rsidRPr="006C4D32">
              <w:rPr>
                <w:rFonts w:asciiTheme="minorHAnsi" w:hAnsiTheme="minorHAnsi" w:cstheme="minorHAnsi"/>
                <w:color w:val="000000"/>
                <w:szCs w:val="22"/>
                <w:lang w:val="en-US" w:eastAsia="en-US"/>
              </w:rPr>
              <w:t>well</w:t>
            </w:r>
            <w:r w:rsidRPr="006C4D32">
              <w:rPr>
                <w:rFonts w:asciiTheme="minorHAnsi" w:hAnsiTheme="minorHAnsi" w:cstheme="minorHAnsi"/>
                <w:color w:val="000000"/>
                <w:szCs w:val="22"/>
                <w:lang w:val="el-GR" w:eastAsia="en-US"/>
              </w:rPr>
              <w:t xml:space="preserve"> ώστε να είναι απολύτως συμβατά με το ρομποτικό σύστημα κρυσταλλώσεων μακρομορίων </w:t>
            </w:r>
            <w:r w:rsidRPr="006C4D32">
              <w:rPr>
                <w:rFonts w:asciiTheme="minorHAnsi" w:hAnsiTheme="minorHAnsi" w:cstheme="minorHAnsi"/>
                <w:color w:val="000000"/>
                <w:szCs w:val="22"/>
                <w:lang w:val="en-US" w:eastAsia="en-US"/>
              </w:rPr>
              <w:t>Oryx</w:t>
            </w:r>
            <w:r w:rsidRPr="006C4D32">
              <w:rPr>
                <w:rFonts w:asciiTheme="minorHAnsi" w:hAnsiTheme="minorHAnsi" w:cstheme="minorHAnsi"/>
                <w:color w:val="000000"/>
                <w:szCs w:val="22"/>
                <w:lang w:val="el-GR" w:eastAsia="en-US"/>
              </w:rPr>
              <w:t xml:space="preserve">4 της εταιρείας </w:t>
            </w:r>
            <w:r w:rsidRPr="006C4D32">
              <w:rPr>
                <w:rFonts w:asciiTheme="minorHAnsi" w:hAnsiTheme="minorHAnsi" w:cstheme="minorHAnsi"/>
                <w:color w:val="000000"/>
                <w:szCs w:val="22"/>
                <w:lang w:val="en-US" w:eastAsia="en-US"/>
              </w:rPr>
              <w:t>Douglas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Instruments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LTD</w:t>
            </w:r>
            <w:r w:rsidRPr="006C4D32">
              <w:rPr>
                <w:rFonts w:asciiTheme="minorHAnsi" w:hAnsiTheme="minorHAnsi" w:cstheme="minorHAnsi"/>
                <w:color w:val="000000"/>
                <w:szCs w:val="22"/>
                <w:lang w:val="el-GR" w:eastAsia="en-US"/>
              </w:rPr>
              <w:t xml:space="preserve"> που διαθέτει το Ελληνικό Ινστιτούτο Παστέρ. Συγκεκριμένα, πρέπει να έχουν την διάταξη </w:t>
            </w:r>
            <w:r w:rsidRPr="006C4D32">
              <w:rPr>
                <w:rFonts w:asciiTheme="minorHAnsi" w:hAnsiTheme="minorHAnsi" w:cstheme="minorHAnsi"/>
                <w:color w:val="000000"/>
                <w:szCs w:val="22"/>
                <w:lang w:val="en-US" w:eastAsia="en-US"/>
              </w:rPr>
              <w:lastRenderedPageBreak/>
              <w:t>Standard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ANSI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SLAS</w:t>
            </w:r>
            <w:r w:rsidRPr="006C4D32">
              <w:rPr>
                <w:rFonts w:asciiTheme="minorHAnsi" w:hAnsiTheme="minorHAnsi" w:cstheme="minorHAnsi"/>
                <w:color w:val="000000"/>
                <w:szCs w:val="22"/>
                <w:lang w:val="el-GR" w:eastAsia="en-US"/>
              </w:rPr>
              <w:t xml:space="preserve"> 1-2004 (</w:t>
            </w:r>
            <w:r w:rsidRPr="006C4D32">
              <w:rPr>
                <w:rFonts w:asciiTheme="minorHAnsi" w:hAnsiTheme="minorHAnsi" w:cstheme="minorHAnsi"/>
                <w:color w:val="000000"/>
                <w:szCs w:val="22"/>
                <w:lang w:val="en-US" w:eastAsia="en-US"/>
              </w:rPr>
              <w:t>SBS</w:t>
            </w:r>
            <w:r w:rsidRPr="006C4D32">
              <w:rPr>
                <w:rFonts w:asciiTheme="minorHAnsi" w:hAnsiTheme="minorHAnsi" w:cstheme="minorHAnsi"/>
                <w:color w:val="000000"/>
                <w:szCs w:val="22"/>
                <w:lang w:val="el-GR" w:eastAsia="en-US"/>
              </w:rPr>
              <w:t xml:space="preserve">), να δέχονται σταγόνες όγκου 100 </w:t>
            </w:r>
            <w:r w:rsidRPr="006C4D32">
              <w:rPr>
                <w:rFonts w:asciiTheme="minorHAnsi" w:hAnsiTheme="minorHAnsi" w:cstheme="minorHAnsi"/>
                <w:color w:val="000000"/>
                <w:szCs w:val="22"/>
                <w:lang w:val="en-US" w:eastAsia="en-US"/>
              </w:rPr>
              <w:t>nl</w:t>
            </w:r>
            <w:r w:rsidRPr="006C4D32">
              <w:rPr>
                <w:rFonts w:asciiTheme="minorHAnsi" w:hAnsiTheme="minorHAnsi" w:cstheme="minorHAnsi"/>
                <w:color w:val="000000"/>
                <w:szCs w:val="22"/>
                <w:lang w:val="el-GR" w:eastAsia="en-US"/>
              </w:rPr>
              <w:t xml:space="preserve"> - 5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δέχονται διάλυμα εξισορρόπησης όγκου εώς 100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έχουν μικροαρίθμηση με τις συντεταγμένες κάθε θέσης δίπλα από τις σταγόνες, να είναι άκαμπτα, να έχουν ευρεία διαμερισματοποίηση ώστε να σφραγίζονται χωρίς απώλειες και να μη δημιουργούν φαινόμενα παραμόρφωσης ώστε να υπάρχει βέλτιστη οπτική παρατήρηση υπό στερεοσκοπίου. Επίσης, να είναι σε συσκευασίες των 10 τεμαχίων. Να δοθεί τιμή ανά τεμάχιο.</w:t>
            </w:r>
          </w:p>
        </w:tc>
        <w:tc>
          <w:tcPr>
            <w:tcW w:w="648"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Borders>
              <w:top w:val="single" w:sz="4" w:space="0" w:color="auto"/>
              <w:left w:val="single" w:sz="4" w:space="0" w:color="auto"/>
              <w:bottom w:val="single" w:sz="4" w:space="0" w:color="auto"/>
              <w:right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2554"/>
          <w:jc w:val="center"/>
        </w:trPr>
        <w:tc>
          <w:tcPr>
            <w:tcW w:w="415" w:type="pct"/>
            <w:tcBorders>
              <w:top w:val="single" w:sz="4" w:space="0" w:color="auto"/>
            </w:tcBorders>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n-US" w:eastAsia="en-US"/>
              </w:rPr>
              <w:lastRenderedPageBreak/>
              <w:t>3</w:t>
            </w:r>
          </w:p>
        </w:tc>
        <w:tc>
          <w:tcPr>
            <w:tcW w:w="2373" w:type="pct"/>
            <w:tcBorders>
              <w:top w:val="single" w:sz="4" w:space="0" w:color="auto"/>
            </w:tcBorders>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Πιάτα κρυσταλλώσεως πρωτεϊνών τύπου </w:t>
            </w:r>
            <w:r w:rsidRPr="006C4D32">
              <w:rPr>
                <w:rFonts w:asciiTheme="minorHAnsi" w:hAnsiTheme="minorHAnsi" w:cstheme="minorHAnsi"/>
                <w:color w:val="000000"/>
                <w:szCs w:val="22"/>
                <w:lang w:val="en-US" w:eastAsia="en-US"/>
              </w:rPr>
              <w:t>SWISSCI</w:t>
            </w:r>
            <w:r w:rsidRPr="006C4D32">
              <w:rPr>
                <w:rFonts w:asciiTheme="minorHAnsi" w:hAnsiTheme="minorHAnsi" w:cstheme="minorHAnsi"/>
                <w:color w:val="000000"/>
                <w:szCs w:val="22"/>
                <w:lang w:val="el-GR" w:eastAsia="en-US"/>
              </w:rPr>
              <w:t xml:space="preserve"> 96 θέσεων διαλυμάτων εξισορρόπησης (συνθηκών κρυστάλλωσης) από </w:t>
            </w:r>
            <w:r w:rsidRPr="006C4D32">
              <w:rPr>
                <w:rFonts w:asciiTheme="minorHAnsi" w:hAnsiTheme="minorHAnsi" w:cstheme="minorHAnsi"/>
                <w:color w:val="000000"/>
                <w:szCs w:val="22"/>
                <w:lang w:val="en-US" w:eastAsia="en-US"/>
              </w:rPr>
              <w:t>UVP</w:t>
            </w:r>
            <w:r w:rsidRPr="006C4D32">
              <w:rPr>
                <w:rFonts w:asciiTheme="minorHAnsi" w:hAnsiTheme="minorHAnsi" w:cstheme="minorHAnsi"/>
                <w:color w:val="000000"/>
                <w:szCs w:val="22"/>
                <w:lang w:val="el-GR" w:eastAsia="en-US"/>
              </w:rPr>
              <w:t xml:space="preserve"> πολυμερές που θα επιτρέπει τη διέλευση ακτινοβολίας </w:t>
            </w:r>
            <w:r w:rsidRPr="006C4D32">
              <w:rPr>
                <w:rFonts w:asciiTheme="minorHAnsi" w:hAnsiTheme="minorHAnsi" w:cstheme="minorHAnsi"/>
                <w:color w:val="000000"/>
                <w:szCs w:val="22"/>
                <w:lang w:val="en-US" w:eastAsia="en-US"/>
              </w:rPr>
              <w:t>UV</w:t>
            </w:r>
            <w:r w:rsidRPr="006C4D32">
              <w:rPr>
                <w:rFonts w:asciiTheme="minorHAnsi" w:hAnsiTheme="minorHAnsi" w:cstheme="minorHAnsi"/>
                <w:color w:val="000000"/>
                <w:szCs w:val="22"/>
                <w:lang w:val="el-GR" w:eastAsia="en-US"/>
              </w:rPr>
              <w:t xml:space="preserve">, δεν θα παρουσιάζουν διπλοδιαθλαστικότητα και θα έχουν ομοιόμορφο φόντο κατά την παρατήρηση υπό πολωμένο φως . Θα πρέπει επίσης να περιέχουν δύο θέσεις εναπόθεσης διαλύματος πρωτείνης ανά συνθήκη κρυστάλλωσης (τεχνική καθήμενης σταγόνας)  κωνικού σχήματος. Τα πιάτα θα πρέπει να είναι ενιαία (όχι σε γέφυρες), τύπου </w:t>
            </w:r>
            <w:r w:rsidRPr="006C4D32">
              <w:rPr>
                <w:rFonts w:asciiTheme="minorHAnsi" w:hAnsiTheme="minorHAnsi" w:cstheme="minorHAnsi"/>
                <w:color w:val="000000"/>
                <w:szCs w:val="22"/>
                <w:lang w:val="en-US" w:eastAsia="en-US"/>
              </w:rPr>
              <w:t>MRC</w:t>
            </w:r>
            <w:r w:rsidRPr="006C4D32">
              <w:rPr>
                <w:rFonts w:asciiTheme="minorHAnsi" w:hAnsiTheme="minorHAnsi" w:cstheme="minorHAnsi"/>
                <w:color w:val="000000"/>
                <w:szCs w:val="22"/>
                <w:lang w:val="el-GR" w:eastAsia="en-US"/>
              </w:rPr>
              <w:t xml:space="preserve"> 2 </w:t>
            </w:r>
            <w:r w:rsidRPr="006C4D32">
              <w:rPr>
                <w:rFonts w:asciiTheme="minorHAnsi" w:hAnsiTheme="minorHAnsi" w:cstheme="minorHAnsi"/>
                <w:color w:val="000000"/>
                <w:szCs w:val="22"/>
                <w:lang w:val="en-US" w:eastAsia="en-US"/>
              </w:rPr>
              <w:t>well</w:t>
            </w:r>
            <w:r w:rsidRPr="006C4D32">
              <w:rPr>
                <w:rFonts w:asciiTheme="minorHAnsi" w:hAnsiTheme="minorHAnsi" w:cstheme="minorHAnsi"/>
                <w:color w:val="000000"/>
                <w:szCs w:val="22"/>
                <w:lang w:val="el-GR" w:eastAsia="en-US"/>
              </w:rPr>
              <w:t xml:space="preserve"> ώστε να είναι απολύτως συμβατά με το ρομποτικό σύστημα κρυσταλλώσεων μακρομορίων </w:t>
            </w:r>
            <w:r w:rsidRPr="006C4D32">
              <w:rPr>
                <w:rFonts w:asciiTheme="minorHAnsi" w:hAnsiTheme="minorHAnsi" w:cstheme="minorHAnsi"/>
                <w:color w:val="000000"/>
                <w:szCs w:val="22"/>
                <w:lang w:val="en-US" w:eastAsia="en-US"/>
              </w:rPr>
              <w:t>Oryx</w:t>
            </w:r>
            <w:r w:rsidRPr="006C4D32">
              <w:rPr>
                <w:rFonts w:asciiTheme="minorHAnsi" w:hAnsiTheme="minorHAnsi" w:cstheme="minorHAnsi"/>
                <w:color w:val="000000"/>
                <w:szCs w:val="22"/>
                <w:lang w:val="el-GR" w:eastAsia="en-US"/>
              </w:rPr>
              <w:t xml:space="preserve">4 της εταιρείας </w:t>
            </w:r>
            <w:r w:rsidRPr="006C4D32">
              <w:rPr>
                <w:rFonts w:asciiTheme="minorHAnsi" w:hAnsiTheme="minorHAnsi" w:cstheme="minorHAnsi"/>
                <w:color w:val="000000"/>
                <w:szCs w:val="22"/>
                <w:lang w:val="en-US" w:eastAsia="en-US"/>
              </w:rPr>
              <w:t>Douglas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Instruments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LTD</w:t>
            </w:r>
            <w:r w:rsidRPr="006C4D32">
              <w:rPr>
                <w:rFonts w:asciiTheme="minorHAnsi" w:hAnsiTheme="minorHAnsi" w:cstheme="minorHAnsi"/>
                <w:color w:val="000000"/>
                <w:szCs w:val="22"/>
                <w:lang w:val="el-GR" w:eastAsia="en-US"/>
              </w:rPr>
              <w:t xml:space="preserve"> που διαθέτει το Ελληνικό Ινστιτούτο Παστέρ. Συγκεκριμένα, πρέπει να έχουν την διάταξη </w:t>
            </w:r>
            <w:r w:rsidRPr="006C4D32">
              <w:rPr>
                <w:rFonts w:asciiTheme="minorHAnsi" w:hAnsiTheme="minorHAnsi" w:cstheme="minorHAnsi"/>
                <w:color w:val="000000"/>
                <w:szCs w:val="22"/>
                <w:lang w:val="en-US" w:eastAsia="en-US"/>
              </w:rPr>
              <w:t>Standard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ANSI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SLAS</w:t>
            </w:r>
            <w:r w:rsidRPr="006C4D32">
              <w:rPr>
                <w:rFonts w:asciiTheme="minorHAnsi" w:hAnsiTheme="minorHAnsi" w:cstheme="minorHAnsi"/>
                <w:color w:val="000000"/>
                <w:szCs w:val="22"/>
                <w:lang w:val="el-GR" w:eastAsia="en-US"/>
              </w:rPr>
              <w:t xml:space="preserve"> 1-2004 (</w:t>
            </w:r>
            <w:r w:rsidRPr="006C4D32">
              <w:rPr>
                <w:rFonts w:asciiTheme="minorHAnsi" w:hAnsiTheme="minorHAnsi" w:cstheme="minorHAnsi"/>
                <w:color w:val="000000"/>
                <w:szCs w:val="22"/>
                <w:lang w:val="en-US" w:eastAsia="en-US"/>
              </w:rPr>
              <w:t>SBS</w:t>
            </w:r>
            <w:r w:rsidRPr="006C4D32">
              <w:rPr>
                <w:rFonts w:asciiTheme="minorHAnsi" w:hAnsiTheme="minorHAnsi" w:cstheme="minorHAnsi"/>
                <w:color w:val="000000"/>
                <w:szCs w:val="22"/>
                <w:lang w:val="el-GR" w:eastAsia="en-US"/>
              </w:rPr>
              <w:t xml:space="preserve">), να δέχονται σταγόνες όγκου 100 </w:t>
            </w:r>
            <w:r w:rsidRPr="006C4D32">
              <w:rPr>
                <w:rFonts w:asciiTheme="minorHAnsi" w:hAnsiTheme="minorHAnsi" w:cstheme="minorHAnsi"/>
                <w:color w:val="000000"/>
                <w:szCs w:val="22"/>
                <w:lang w:val="en-US" w:eastAsia="en-US"/>
              </w:rPr>
              <w:t>nl</w:t>
            </w:r>
            <w:r w:rsidRPr="006C4D32">
              <w:rPr>
                <w:rFonts w:asciiTheme="minorHAnsi" w:hAnsiTheme="minorHAnsi" w:cstheme="minorHAnsi"/>
                <w:color w:val="000000"/>
                <w:szCs w:val="22"/>
                <w:lang w:val="el-GR" w:eastAsia="en-US"/>
              </w:rPr>
              <w:t xml:space="preserve"> - 5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δέχονται διάλυμα εξισορρόπησης όγκου εώς 100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έχουν μικροαρίθμηση με τις συντεταγμένες κάθε θέσης δίπλα από τις σταγόνες, να είναι άκαμπτα, να έχουν ευρεία διαμερισματοποίηση ώστε να σφραγίζονται χωρίς απώλειες και να μη δημιουργούν φαινόμενα παραμόρφωσης ώστε να υπάρχει βέλτιστη οπτική παρατήρηση υπό στερεοσκοπίου. Επίσης, να είναι σε συσκευασίες των 10 τεμαχίων. Να δοθεί τιμή ανά τεμάχιο.</w:t>
            </w:r>
          </w:p>
        </w:tc>
        <w:tc>
          <w:tcPr>
            <w:tcW w:w="648" w:type="pct"/>
            <w:tcBorders>
              <w:top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Borders>
              <w:top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Borders>
              <w:top w:val="single" w:sz="4" w:space="0" w:color="auto"/>
            </w:tcBorders>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02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n-US" w:eastAsia="en-US"/>
              </w:rPr>
              <w:t>4</w:t>
            </w:r>
          </w:p>
        </w:tc>
        <w:tc>
          <w:tcPr>
            <w:tcW w:w="2373" w:type="pct"/>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Ταινία</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σφράγισης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πιάτων</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κρυστάλλωσης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τύπου</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SBS</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πολύ</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υψηλής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οπτικής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καθαρότητας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πλάτους</w:t>
            </w:r>
            <w:r w:rsidRPr="00424D58">
              <w:rPr>
                <w:rFonts w:asciiTheme="minorHAnsi" w:hAnsiTheme="minorHAnsi" w:cstheme="minorHAnsi"/>
                <w:color w:val="000000"/>
                <w:szCs w:val="22"/>
                <w:lang w:val="en-US" w:eastAsia="en-US"/>
              </w:rPr>
              <w:t xml:space="preserve"> 1,88 </w:t>
            </w:r>
            <w:r w:rsidRPr="006C4D32">
              <w:rPr>
                <w:rFonts w:asciiTheme="minorHAnsi" w:hAnsiTheme="minorHAnsi" w:cstheme="minorHAnsi"/>
                <w:color w:val="000000"/>
                <w:szCs w:val="22"/>
                <w:lang w:val="el-GR" w:eastAsia="en-US"/>
              </w:rPr>
              <w:t>ιντσών</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συμβατής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με</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ευρύ</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φάσμα</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χημικών</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αντιδραστηρίων</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που</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χρησιμοποιούνται</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στα</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lastRenderedPageBreak/>
              <w:t>kit</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κρυστάλλωσης</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PACT</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premier</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Morpheus</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JCSG</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ProPlex</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MIDAS</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PGA</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n-US" w:eastAsia="en-US"/>
              </w:rPr>
              <w:t>MemGold</w:t>
            </w:r>
            <w:r w:rsidRPr="00424D58">
              <w:rPr>
                <w:rFonts w:asciiTheme="minorHAnsi" w:hAnsiTheme="minorHAnsi" w:cstheme="minorHAnsi"/>
                <w:color w:val="000000"/>
                <w:szCs w:val="22"/>
                <w:lang w:val="en-US" w:eastAsia="en-US"/>
              </w:rPr>
              <w:t xml:space="preserve">. </w:t>
            </w:r>
            <w:r w:rsidRPr="006C4D32">
              <w:rPr>
                <w:rFonts w:asciiTheme="minorHAnsi" w:hAnsiTheme="minorHAnsi" w:cstheme="minorHAnsi"/>
                <w:color w:val="000000"/>
                <w:szCs w:val="22"/>
                <w:lang w:val="el-GR" w:eastAsia="en-US"/>
              </w:rPr>
              <w:t xml:space="preserve">Η ταινία θα πρέπει να περιέχει κόλλα που θα έχει ως χημική βάση ακρυλικούς διαλύτες που θα είναι συμβατοί με υδατικά διαλύματα. </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255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n-US" w:eastAsia="en-US"/>
              </w:rPr>
              <w:lastRenderedPageBreak/>
              <w:t>5</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Στήλη χρωματογραφίας μοριακής διήθησης </w:t>
            </w:r>
            <w:r w:rsidRPr="006C4D32">
              <w:rPr>
                <w:rFonts w:asciiTheme="minorHAnsi" w:hAnsiTheme="minorHAnsi" w:cstheme="minorHAnsi"/>
                <w:color w:val="000000"/>
                <w:szCs w:val="22"/>
                <w:lang w:val="en-US" w:eastAsia="en-US"/>
              </w:rPr>
              <w:t>Superose</w:t>
            </w:r>
            <w:r w:rsidRPr="006C4D32">
              <w:rPr>
                <w:rFonts w:asciiTheme="minorHAnsi" w:hAnsiTheme="minorHAnsi" w:cstheme="minorHAnsi"/>
                <w:color w:val="000000"/>
                <w:szCs w:val="22"/>
                <w:lang w:val="el-GR" w:eastAsia="en-US"/>
              </w:rPr>
              <w:t xml:space="preserve"> 6 </w:t>
            </w:r>
            <w:r w:rsidRPr="006C4D32">
              <w:rPr>
                <w:rFonts w:asciiTheme="minorHAnsi" w:hAnsiTheme="minorHAnsi" w:cstheme="minorHAnsi"/>
                <w:color w:val="000000"/>
                <w:szCs w:val="22"/>
                <w:lang w:val="en-US" w:eastAsia="en-US"/>
              </w:rPr>
              <w:t>Increase</w:t>
            </w:r>
            <w:r w:rsidRPr="006C4D32">
              <w:rPr>
                <w:rFonts w:asciiTheme="minorHAnsi" w:hAnsiTheme="minorHAnsi" w:cstheme="minorHAnsi"/>
                <w:color w:val="000000"/>
                <w:szCs w:val="22"/>
                <w:lang w:val="el-GR" w:eastAsia="en-US"/>
              </w:rPr>
              <w:t xml:space="preserve"> 10/300 </w:t>
            </w:r>
            <w:r w:rsidRPr="006C4D32">
              <w:rPr>
                <w:rFonts w:asciiTheme="minorHAnsi" w:hAnsiTheme="minorHAnsi" w:cstheme="minorHAnsi"/>
                <w:color w:val="000000"/>
                <w:szCs w:val="22"/>
                <w:lang w:val="en-US" w:eastAsia="en-US"/>
              </w:rPr>
              <w:t>GL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H</w:t>
            </w:r>
            <w:r w:rsidRPr="006C4D32">
              <w:rPr>
                <w:rFonts w:asciiTheme="minorHAnsi" w:hAnsiTheme="minorHAnsi" w:cstheme="minorHAnsi"/>
                <w:color w:val="000000"/>
                <w:szCs w:val="22"/>
                <w:lang w:val="el-GR" w:eastAsia="en-US"/>
              </w:rPr>
              <w:t xml:space="preserve"> στήλη να είναι συμβατή με το σύστημα χρωματογραφίας </w:t>
            </w:r>
            <w:r w:rsidRPr="006C4D32">
              <w:rPr>
                <w:rFonts w:asciiTheme="minorHAnsi" w:hAnsiTheme="minorHAnsi" w:cstheme="minorHAnsi"/>
                <w:color w:val="000000"/>
                <w:szCs w:val="22"/>
                <w:lang w:val="en-US" w:eastAsia="en-US"/>
              </w:rPr>
              <w:t>Akta</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purifier</w:t>
            </w:r>
            <w:r w:rsidRPr="006C4D32">
              <w:rPr>
                <w:rFonts w:asciiTheme="minorHAnsi" w:hAnsiTheme="minorHAnsi" w:cstheme="minorHAnsi"/>
                <w:color w:val="000000"/>
                <w:szCs w:val="22"/>
                <w:lang w:val="el-GR" w:eastAsia="en-US"/>
              </w:rPr>
              <w:t xml:space="preserve"> που διατίθεται στο ΕΙΠ. Η συγκεκριμένη στήλη είναι προπακεταρισμένη, σχεδιασμένη για γρήγορο διαχωρισμό και ανάλυση πρωτεϊνών και άλλων βιομορίων με μοριακά βάρη εύρους 5.000 – 5.000.000. Ο όγκος της στήλης να είναι 24</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και οι διαστάσεις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300</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(διάμετρος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ύψος). Να έχει αποδοτικότητα &gt;48.000 θεωρητικές πλάκες ανά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Ο προτεινόμενος όγκος δείγματος να κυμαίνεται από 25-500μ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Ο μέγιστος ρυθμός ροής λειτουργίας να είναι 1.5</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min</w:t>
            </w:r>
            <w:r w:rsidRPr="006C4D32">
              <w:rPr>
                <w:rFonts w:asciiTheme="minorHAnsi" w:hAnsiTheme="minorHAnsi" w:cstheme="minorHAnsi"/>
                <w:color w:val="000000"/>
                <w:szCs w:val="22"/>
                <w:lang w:val="el-GR" w:eastAsia="en-US"/>
              </w:rPr>
              <w:t>. Το μέγιστο όριο πίεσης της στήλης να είναι 3.0</w:t>
            </w:r>
            <w:r w:rsidRPr="006C4D32">
              <w:rPr>
                <w:rFonts w:asciiTheme="minorHAnsi" w:hAnsiTheme="minorHAnsi" w:cstheme="minorHAnsi"/>
                <w:color w:val="000000"/>
                <w:szCs w:val="22"/>
                <w:lang w:val="en-US" w:eastAsia="en-US"/>
              </w:rPr>
              <w:t>MPa</w:t>
            </w:r>
            <w:r w:rsidRPr="006C4D32">
              <w:rPr>
                <w:rFonts w:asciiTheme="minorHAnsi" w:hAnsiTheme="minorHAnsi" w:cstheme="minorHAnsi"/>
                <w:color w:val="000000"/>
                <w:szCs w:val="22"/>
                <w:lang w:val="el-GR" w:eastAsia="en-US"/>
              </w:rPr>
              <w:t xml:space="preserve"> και το υλικό πλήρωσης της στήλης να έχει τα ακόλουθα χαρακτηριστικά: </w:t>
            </w:r>
            <w:r w:rsidRPr="006C4D32">
              <w:rPr>
                <w:rFonts w:asciiTheme="minorHAnsi" w:hAnsiTheme="minorHAnsi" w:cstheme="minorHAnsi"/>
                <w:color w:val="000000"/>
                <w:szCs w:val="22"/>
                <w:lang w:val="en-US" w:eastAsia="en-US"/>
              </w:rPr>
              <w:t>Matrix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Composite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of</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cross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linked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agarose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and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dextran</w:t>
            </w:r>
            <w:r w:rsidRPr="006C4D32">
              <w:rPr>
                <w:rFonts w:asciiTheme="minorHAnsi" w:hAnsiTheme="minorHAnsi" w:cstheme="minorHAnsi"/>
                <w:color w:val="000000"/>
                <w:szCs w:val="22"/>
                <w:lang w:val="el-GR" w:eastAsia="en-US"/>
              </w:rPr>
              <w:t>, Εύρος κλασματοποίησης: Σφαιρικές πρωτεΐνες μοριακού βάρους 5.000-5</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10Ε6 και δεξτράνες μοριακού βάρους 1.000-3</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10Ε5. Οριακό μέγεθος: περίπου 4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10Ε7 για σφαιρικές πρωτεΐνες. Μέγεθος σωματιδίων: 8.6 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Σταθερό σε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3-12 κατά την λειτουργία, ενώ 1-14 κατά τον καθαρισμό. Να λειτουργεί σε θερμοκρασίες 4</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-40</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και να αποθηκεύεται σε θερμοκρασίες 4</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-30</w:t>
            </w:r>
            <w:r w:rsidRPr="006C4D32">
              <w:rPr>
                <w:rFonts w:asciiTheme="minorHAnsi" w:hAnsiTheme="minorHAnsi" w:cstheme="minorHAnsi"/>
                <w:color w:val="000000"/>
                <w:szCs w:val="22"/>
                <w:lang w:val="en-US" w:eastAsia="en-US"/>
              </w:rPr>
              <w:t>C</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53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eastAsia="en-US"/>
              </w:rPr>
            </w:pPr>
            <w:r w:rsidRPr="006C4D32">
              <w:rPr>
                <w:rFonts w:asciiTheme="minorHAnsi" w:hAnsiTheme="minorHAnsi" w:cstheme="minorHAnsi"/>
                <w:color w:val="000000"/>
                <w:szCs w:val="22"/>
                <w:lang w:eastAsia="en-US"/>
              </w:rPr>
              <w:t>6</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Πολυκαρβονικές φλάσκες όγκου 250 </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ευρυλαίμιες, αποστειρωμένες με ακτινοβολία γ, επίπεδου πάτου με βιδωτό καπάκι από πολυστυρένιο, το οποίο περιέχει φίλτρο αερισμού (</w:t>
            </w:r>
            <w:r w:rsidRPr="006C4D32">
              <w:rPr>
                <w:rFonts w:asciiTheme="minorHAnsi" w:hAnsiTheme="minorHAnsi" w:cstheme="minorHAnsi"/>
                <w:color w:val="000000"/>
                <w:szCs w:val="22"/>
                <w:lang w:val="en-US" w:eastAsia="en-US"/>
              </w:rPr>
              <w:t>vent</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cap</w:t>
            </w:r>
            <w:r w:rsidRPr="006C4D32">
              <w:rPr>
                <w:rFonts w:asciiTheme="minorHAnsi" w:hAnsiTheme="minorHAnsi" w:cstheme="minorHAnsi"/>
                <w:color w:val="000000"/>
                <w:szCs w:val="22"/>
                <w:lang w:val="el-GR" w:eastAsia="en-US"/>
              </w:rPr>
              <w:t>). Κατάλληλες για εφαρμογές υγρών κυτταρικών καλλιεργειών υπό ανάδευση, καθώς και για μεταχείριση υγρών και αποθήκευση. Να είναι πιστοποιημένες ως μη πυρογενής (</w:t>
            </w:r>
            <w:r w:rsidRPr="006C4D32">
              <w:rPr>
                <w:rFonts w:asciiTheme="minorHAnsi" w:hAnsiTheme="minorHAnsi" w:cstheme="minorHAnsi"/>
                <w:color w:val="000000"/>
                <w:szCs w:val="22"/>
                <w:lang w:val="en-US" w:eastAsia="en-US"/>
              </w:rPr>
              <w:t>nonpyrogenic</w:t>
            </w:r>
            <w:r w:rsidRPr="006C4D32">
              <w:rPr>
                <w:rFonts w:asciiTheme="minorHAnsi" w:hAnsiTheme="minorHAnsi" w:cstheme="minorHAnsi"/>
                <w:color w:val="000000"/>
                <w:szCs w:val="22"/>
                <w:lang w:val="el-GR" w:eastAsia="en-US"/>
              </w:rPr>
              <w:t xml:space="preserve">) και να έχουν δυνατότητα να υποστούν διαδικασία αποστείρωσης. Το πολυκαρβονικό υλικό να είναι οπτικά διαφανές. Να παρέχονται σε συσκευασία ανά μία. Να είναι ελεύθερες </w:t>
            </w:r>
            <w:r w:rsidRPr="006C4D32">
              <w:rPr>
                <w:rFonts w:asciiTheme="minorHAnsi" w:hAnsiTheme="minorHAnsi" w:cstheme="minorHAnsi"/>
                <w:color w:val="000000"/>
                <w:szCs w:val="22"/>
                <w:lang w:val="en-US" w:eastAsia="en-US"/>
              </w:rPr>
              <w:t>DNA</w:t>
            </w:r>
            <w:r w:rsidRPr="006C4D32">
              <w:rPr>
                <w:rFonts w:asciiTheme="minorHAnsi" w:hAnsiTheme="minorHAnsi" w:cstheme="minorHAnsi"/>
                <w:color w:val="000000"/>
                <w:szCs w:val="22"/>
                <w:lang w:val="el-GR" w:eastAsia="en-US"/>
              </w:rPr>
              <w:t xml:space="preserve">σών και </w:t>
            </w:r>
            <w:r w:rsidRPr="006C4D32">
              <w:rPr>
                <w:rFonts w:asciiTheme="minorHAnsi" w:hAnsiTheme="minorHAnsi" w:cstheme="minorHAnsi"/>
                <w:color w:val="000000"/>
                <w:szCs w:val="22"/>
                <w:lang w:val="en-US" w:eastAsia="en-US"/>
              </w:rPr>
              <w:t>RNA</w:t>
            </w:r>
            <w:r w:rsidRPr="006C4D32">
              <w:rPr>
                <w:rFonts w:asciiTheme="minorHAnsi" w:hAnsiTheme="minorHAnsi" w:cstheme="minorHAnsi"/>
                <w:color w:val="000000"/>
                <w:szCs w:val="22"/>
                <w:lang w:val="el-GR" w:eastAsia="en-US"/>
              </w:rPr>
              <w:t xml:space="preserve">σών και να έχουν το υψηλότατο επίπεδο </w:t>
            </w:r>
            <w:r w:rsidRPr="006C4D32">
              <w:rPr>
                <w:rFonts w:asciiTheme="minorHAnsi" w:hAnsiTheme="minorHAnsi" w:cstheme="minorHAnsi"/>
                <w:color w:val="000000"/>
                <w:szCs w:val="22"/>
                <w:lang w:val="el-GR" w:eastAsia="en-US"/>
              </w:rPr>
              <w:lastRenderedPageBreak/>
              <w:t>εγγύησης στειρότητας (</w:t>
            </w:r>
            <w:r w:rsidRPr="006C4D32">
              <w:rPr>
                <w:rFonts w:asciiTheme="minorHAnsi" w:hAnsiTheme="minorHAnsi" w:cstheme="minorHAnsi"/>
                <w:color w:val="000000"/>
                <w:szCs w:val="22"/>
                <w:lang w:val="en-US" w:eastAsia="en-US"/>
              </w:rPr>
              <w:t>SAL</w:t>
            </w:r>
            <w:r w:rsidRPr="006C4D32">
              <w:rPr>
                <w:rFonts w:asciiTheme="minorHAnsi" w:hAnsiTheme="minorHAnsi" w:cstheme="minorHAnsi"/>
                <w:color w:val="000000"/>
                <w:szCs w:val="22"/>
                <w:lang w:val="el-GR" w:eastAsia="en-US"/>
              </w:rPr>
              <w:t>) της τάξης του 10</w:t>
            </w:r>
            <w:r w:rsidRPr="006C4D32">
              <w:rPr>
                <w:rFonts w:asciiTheme="minorHAnsi" w:hAnsiTheme="minorHAnsi" w:cstheme="minorHAnsi"/>
                <w:color w:val="000000"/>
                <w:szCs w:val="22"/>
                <w:vertAlign w:val="superscript"/>
                <w:lang w:val="el-GR" w:eastAsia="en-US"/>
              </w:rPr>
              <w:t>-6</w:t>
            </w:r>
            <w:r w:rsidRPr="006C4D32">
              <w:rPr>
                <w:rFonts w:asciiTheme="minorHAnsi" w:hAnsiTheme="minorHAnsi" w:cstheme="minorHAnsi"/>
                <w:color w:val="000000"/>
                <w:szCs w:val="22"/>
                <w:lang w:val="el-GR" w:eastAsia="en-US"/>
              </w:rPr>
              <w:t>. Να περιέχονται σε συσκευασία 50 τεμαχίων και να δοθεί τιμή ανά τεμάχιο.</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53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eastAsia="en-US"/>
              </w:rPr>
              <w:lastRenderedPageBreak/>
              <w:t>7</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κατασκευασμένα από υψηλής ποιότητας πολυστυρένιο. Το σχέδιο του καλύμματος των πλακών να ελαχιστοποιεί τον κίνδυνο διασταυρούμενης επιμόλυνσης. Ο πυθμένας των πηγαδιών των πλακών να έχει λεπτά τοιχώματα ώστε να αυξάνεται η θερμική συνεκτικότητα Να είναι επίπεδου πυθμένα ώστε να παρέχουν εξαιρετική διαύγεια για μικροσκοπική εξέταση των δειγμάτων. Να είναι αποστειρωμένες μέσω δέσμης ηλεκτρονίων. Να είναι ελεύθερα πυρετογόνων, μη κυτταροτοξικά. Να είναι ελεύθερα από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&amp;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xml:space="preserve">, καθώς και από ανθρώπινο </w:t>
            </w:r>
            <w:r w:rsidRPr="006C4D32">
              <w:rPr>
                <w:rFonts w:asciiTheme="minorHAnsi" w:hAnsiTheme="minorHAnsi" w:cstheme="minorHAnsi"/>
                <w:color w:val="000000"/>
                <w:szCs w:val="22"/>
                <w:lang w:val="en-US" w:eastAsia="en-US"/>
              </w:rPr>
              <w:t>DNA</w:t>
            </w:r>
            <w:r w:rsidRPr="006C4D32">
              <w:rPr>
                <w:rFonts w:asciiTheme="minorHAnsi" w:hAnsiTheme="minorHAnsi" w:cstheme="minorHAnsi"/>
                <w:color w:val="000000"/>
                <w:szCs w:val="22"/>
                <w:lang w:val="el-GR" w:eastAsia="en-US"/>
              </w:rPr>
              <w:t xml:space="preserve">. Να είναι συσκευασμένα και αποστειρωμένα ανά 1. Να είναι διαστάσεων 85,4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127,6</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περίπου.</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02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8</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κατασκευασμένα από υψηλής ποιότητας πολυπροπυλένιο. Να είναι αποστειρωμένα &amp; συσκευασμένα ανά </w:t>
            </w:r>
            <w:r w:rsidRPr="006C4D32">
              <w:rPr>
                <w:rFonts w:asciiTheme="minorHAnsi" w:hAnsiTheme="minorHAnsi" w:cstheme="minorHAnsi"/>
                <w:color w:val="000000"/>
                <w:szCs w:val="22"/>
                <w:lang w:val="en-US" w:eastAsia="en-US"/>
              </w:rPr>
              <w:t>rack</w:t>
            </w:r>
            <w:r w:rsidRPr="006C4D32">
              <w:rPr>
                <w:rFonts w:asciiTheme="minorHAnsi" w:hAnsiTheme="minorHAnsi" w:cstheme="minorHAnsi"/>
                <w:color w:val="000000"/>
                <w:szCs w:val="22"/>
                <w:lang w:val="el-GR" w:eastAsia="en-US"/>
              </w:rPr>
              <w:t xml:space="preserve"> των 60 </w:t>
            </w:r>
            <w:r w:rsidRPr="006C4D32">
              <w:rPr>
                <w:rFonts w:asciiTheme="minorHAnsi" w:hAnsiTheme="minorHAnsi" w:cstheme="minorHAnsi"/>
                <w:color w:val="000000"/>
                <w:szCs w:val="22"/>
                <w:lang w:val="en-US" w:eastAsia="en-US"/>
              </w:rPr>
              <w:t>tips</w:t>
            </w:r>
            <w:r w:rsidRPr="006C4D32">
              <w:rPr>
                <w:rFonts w:asciiTheme="minorHAnsi" w:hAnsiTheme="minorHAnsi" w:cstheme="minorHAnsi"/>
                <w:color w:val="000000"/>
                <w:szCs w:val="22"/>
                <w:lang w:val="el-GR" w:eastAsia="en-US"/>
              </w:rPr>
              <w:t xml:space="preserve">. Να είναι ελεύθερα από </w:t>
            </w:r>
            <w:r w:rsidRPr="006C4D32">
              <w:rPr>
                <w:rFonts w:asciiTheme="minorHAnsi" w:hAnsiTheme="minorHAnsi" w:cstheme="minorHAnsi"/>
                <w:color w:val="000000"/>
                <w:szCs w:val="22"/>
                <w:lang w:val="en-US" w:eastAsia="en-US"/>
              </w:rPr>
              <w:t>DNA</w:t>
            </w:r>
            <w:r w:rsidRPr="006C4D32">
              <w:rPr>
                <w:rFonts w:asciiTheme="minorHAnsi" w:hAnsiTheme="minorHAnsi" w:cstheme="minorHAnsi"/>
                <w:color w:val="000000"/>
                <w:szCs w:val="22"/>
                <w:lang w:val="el-GR" w:eastAsia="en-US"/>
              </w:rPr>
              <w:t xml:space="preserve"> &amp; </w:t>
            </w:r>
            <w:r w:rsidRPr="006C4D32">
              <w:rPr>
                <w:rFonts w:asciiTheme="minorHAnsi" w:hAnsiTheme="minorHAnsi" w:cstheme="minorHAnsi"/>
                <w:color w:val="000000"/>
                <w:szCs w:val="22"/>
                <w:lang w:val="en-US" w:eastAsia="en-US"/>
              </w:rPr>
              <w:t>RNA</w:t>
            </w:r>
            <w:r w:rsidRPr="006C4D32">
              <w:rPr>
                <w:rFonts w:asciiTheme="minorHAnsi" w:hAnsiTheme="minorHAnsi" w:cstheme="minorHAnsi"/>
                <w:color w:val="000000"/>
                <w:szCs w:val="22"/>
                <w:lang w:val="el-GR" w:eastAsia="en-US"/>
              </w:rPr>
              <w:t xml:space="preserve">. Να είναι ελεύθερα από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&amp;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xml:space="preserve">. Να είναι ελεύθερα από παρεμποδιστές </w:t>
            </w:r>
            <w:r w:rsidRPr="006C4D32">
              <w:rPr>
                <w:rFonts w:asciiTheme="minorHAnsi" w:hAnsiTheme="minorHAnsi" w:cstheme="minorHAnsi"/>
                <w:color w:val="000000"/>
                <w:szCs w:val="22"/>
                <w:lang w:val="en-US" w:eastAsia="en-US"/>
              </w:rPr>
              <w:t>PCR</w:t>
            </w:r>
            <w:r w:rsidRPr="006C4D32">
              <w:rPr>
                <w:rFonts w:asciiTheme="minorHAnsi" w:hAnsiTheme="minorHAnsi" w:cstheme="minorHAnsi"/>
                <w:color w:val="000000"/>
                <w:szCs w:val="22"/>
                <w:lang w:val="el-GR" w:eastAsia="en-US"/>
              </w:rPr>
              <w:t xml:space="preserve">. Να είναι ελεύθερα από ενδοτοξίνες. Να είναι συμβατά με τις περισσότερες πιπέττες της αγοράς. Να περιέχονται σε </w:t>
            </w:r>
            <w:r w:rsidRPr="006C4D32">
              <w:rPr>
                <w:rFonts w:asciiTheme="minorHAnsi" w:hAnsiTheme="minorHAnsi" w:cstheme="minorHAnsi"/>
                <w:color w:val="000000"/>
                <w:szCs w:val="22"/>
                <w:lang w:val="en-US" w:eastAsia="en-US"/>
              </w:rPr>
              <w:t>rack</w:t>
            </w:r>
            <w:r w:rsidRPr="006C4D32">
              <w:rPr>
                <w:rFonts w:asciiTheme="minorHAnsi" w:hAnsiTheme="minorHAnsi" w:cstheme="minorHAnsi"/>
                <w:color w:val="000000"/>
                <w:szCs w:val="22"/>
                <w:lang w:val="el-GR" w:eastAsia="en-US"/>
              </w:rPr>
              <w:t xml:space="preserve">  των 60 </w:t>
            </w:r>
            <w:r w:rsidRPr="006C4D32">
              <w:rPr>
                <w:rFonts w:asciiTheme="minorHAnsi" w:hAnsiTheme="minorHAnsi" w:cstheme="minorHAnsi"/>
                <w:color w:val="000000"/>
                <w:szCs w:val="22"/>
                <w:lang w:val="en-US" w:eastAsia="en-US"/>
              </w:rPr>
              <w:t>tip</w:t>
            </w:r>
            <w:r w:rsidRPr="006C4D32">
              <w:rPr>
                <w:rFonts w:asciiTheme="minorHAnsi" w:hAnsiTheme="minorHAnsi" w:cstheme="minorHAnsi"/>
                <w:color w:val="000000"/>
                <w:szCs w:val="22"/>
                <w:lang w:val="el-GR" w:eastAsia="en-US"/>
              </w:rPr>
              <w:t>.</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9</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Να είναι όγκου 100</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Να είναι αποστειρωμένα [με γ΄ ακτινοβολία ή με </w:t>
            </w:r>
            <w:r w:rsidRPr="006C4D32">
              <w:rPr>
                <w:rFonts w:asciiTheme="minorHAnsi" w:hAnsiTheme="minorHAnsi" w:cstheme="minorHAnsi"/>
                <w:color w:val="000000"/>
                <w:szCs w:val="22"/>
                <w:lang w:val="en-US" w:eastAsia="en-US"/>
              </w:rPr>
              <w:t>Ethylene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Oxide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EtO</w:t>
            </w:r>
            <w:r w:rsidRPr="006C4D32">
              <w:rPr>
                <w:rFonts w:asciiTheme="minorHAnsi" w:hAnsiTheme="minorHAnsi" w:cstheme="minorHAnsi"/>
                <w:color w:val="000000"/>
                <w:szCs w:val="22"/>
                <w:lang w:val="el-GR" w:eastAsia="en-US"/>
              </w:rPr>
              <w:t>)] &amp; να είναι συσκευασμένα ανά 1, σε πακέτο των 50 τεμαχίων. Να διαθέτουν αφαιρούμενη μεμβράνη διαμέτρου 47</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&amp; πορώδους 0,2μ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από νιτροκυτταρίνη, κατάλληλη για την αποστειρωτική διήθηση διαλυμάτων.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10</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κατασκευασμένες από πολυπροπυλένιο. Να είναι 3 μερών. Να διαθέτουν έμβολο κατασκευασμένο από συνθετικό λάστιχο, χωρίς </w:t>
            </w:r>
            <w:r w:rsidRPr="006C4D32">
              <w:rPr>
                <w:rFonts w:asciiTheme="minorHAnsi" w:hAnsiTheme="minorHAnsi" w:cstheme="minorHAnsi"/>
                <w:color w:val="000000"/>
                <w:szCs w:val="22"/>
                <w:lang w:val="en-US" w:eastAsia="en-US"/>
              </w:rPr>
              <w:t>latex</w:t>
            </w:r>
            <w:r w:rsidRPr="006C4D32">
              <w:rPr>
                <w:rFonts w:asciiTheme="minorHAnsi" w:hAnsiTheme="minorHAnsi" w:cstheme="minorHAnsi"/>
                <w:color w:val="000000"/>
                <w:szCs w:val="22"/>
                <w:lang w:val="el-GR" w:eastAsia="en-US"/>
              </w:rPr>
              <w:t xml:space="preserve"> Να διαθέτουν ακροφύσιο </w:t>
            </w:r>
            <w:r w:rsidRPr="006C4D32">
              <w:rPr>
                <w:rFonts w:asciiTheme="minorHAnsi" w:hAnsiTheme="minorHAnsi" w:cstheme="minorHAnsi"/>
                <w:color w:val="000000"/>
                <w:szCs w:val="22"/>
                <w:lang w:val="en-US" w:eastAsia="en-US"/>
              </w:rPr>
              <w:t>Luer</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Lock</w:t>
            </w:r>
            <w:r w:rsidRPr="006C4D32">
              <w:rPr>
                <w:rFonts w:asciiTheme="minorHAnsi" w:hAnsiTheme="minorHAnsi" w:cstheme="minorHAnsi"/>
                <w:color w:val="000000"/>
                <w:szCs w:val="22"/>
                <w:lang w:val="el-GR" w:eastAsia="en-US"/>
              </w:rPr>
              <w:t xml:space="preserve">. Να είναι αποστειρωμένες και συσκευασμένες ανά μία, σε πακέτο των 100 τεμαχίων Να είναι </w:t>
            </w:r>
            <w:r w:rsidRPr="006C4D32">
              <w:rPr>
                <w:rFonts w:asciiTheme="minorHAnsi" w:hAnsiTheme="minorHAnsi" w:cstheme="minorHAnsi"/>
                <w:color w:val="000000"/>
                <w:szCs w:val="22"/>
                <w:lang w:val="en-US" w:eastAsia="en-US"/>
              </w:rPr>
              <w:t>latex</w:t>
            </w:r>
            <w:r w:rsidRPr="006C4D32">
              <w:rPr>
                <w:rFonts w:asciiTheme="minorHAnsi" w:hAnsiTheme="minorHAnsi" w:cstheme="minorHAnsi"/>
                <w:color w:val="000000"/>
                <w:szCs w:val="22"/>
                <w:lang w:val="el-GR" w:eastAsia="en-US"/>
              </w:rPr>
              <w:t xml:space="preserve">- &amp; </w:t>
            </w:r>
            <w:r w:rsidRPr="006C4D32">
              <w:rPr>
                <w:rFonts w:asciiTheme="minorHAnsi" w:hAnsiTheme="minorHAnsi" w:cstheme="minorHAnsi"/>
                <w:color w:val="000000"/>
                <w:szCs w:val="22"/>
                <w:lang w:val="en-US" w:eastAsia="en-US"/>
              </w:rPr>
              <w:t>PVC</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free</w:t>
            </w:r>
            <w:r w:rsidRPr="006C4D32">
              <w:rPr>
                <w:rFonts w:asciiTheme="minorHAnsi" w:hAnsiTheme="minorHAnsi" w:cstheme="minorHAnsi"/>
                <w:color w:val="000000"/>
                <w:szCs w:val="22"/>
                <w:lang w:val="el-GR" w:eastAsia="en-US"/>
              </w:rPr>
              <w:t>.</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11</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κατασκευασμένα εξωτερικά από πολυπροπυλένιο. Η μεμβράνη να είναι κατασκευασμένη από </w:t>
            </w:r>
            <w:r w:rsidRPr="006C4D32">
              <w:rPr>
                <w:rFonts w:asciiTheme="minorHAnsi" w:hAnsiTheme="minorHAnsi" w:cstheme="minorHAnsi"/>
                <w:color w:val="000000"/>
                <w:szCs w:val="22"/>
                <w:lang w:val="en-US" w:eastAsia="en-US"/>
              </w:rPr>
              <w:t>PES</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polyethersulfone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l-GR" w:eastAsia="en-US"/>
              </w:rPr>
              <w:lastRenderedPageBreak/>
              <w:t>διαμέτρου 25</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πορώδους 0,2μ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&amp; επιφάνειας φίλτρανσης 4,6</w:t>
            </w:r>
            <w:r w:rsidRPr="006C4D32">
              <w:rPr>
                <w:rFonts w:asciiTheme="minorHAnsi" w:hAnsiTheme="minorHAnsi" w:cstheme="minorHAnsi"/>
                <w:color w:val="000000"/>
                <w:szCs w:val="22"/>
                <w:lang w:val="en-US" w:eastAsia="en-US"/>
              </w:rPr>
              <w:t>cm</w:t>
            </w:r>
            <w:r w:rsidRPr="006C4D32">
              <w:rPr>
                <w:rFonts w:asciiTheme="minorHAnsi" w:hAnsiTheme="minorHAnsi" w:cstheme="minorHAnsi"/>
                <w:color w:val="000000"/>
                <w:szCs w:val="22"/>
                <w:lang w:val="el-GR" w:eastAsia="en-US"/>
              </w:rPr>
              <w:t>2. Να είναι αποστειρωμένα και συσκευασμένα ανά ένα, σε πακέτο των 50 τεμαχίων.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12</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κατασκευασμένα εξωτερικά από πολυπροπυλένιο. Η μεμβράνη να είναι κατασκευασμένη από υδρόφοβο </w:t>
            </w:r>
            <w:r w:rsidRPr="006C4D32">
              <w:rPr>
                <w:rFonts w:asciiTheme="minorHAnsi" w:hAnsiTheme="minorHAnsi" w:cstheme="minorHAnsi"/>
                <w:color w:val="000000"/>
                <w:szCs w:val="22"/>
                <w:lang w:val="en-US" w:eastAsia="en-US"/>
              </w:rPr>
              <w:t>PTFE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Polytetrafluoroethylene</w:t>
            </w:r>
            <w:r w:rsidRPr="006C4D32">
              <w:rPr>
                <w:rFonts w:asciiTheme="minorHAnsi" w:hAnsiTheme="minorHAnsi" w:cstheme="minorHAnsi"/>
                <w:color w:val="000000"/>
                <w:szCs w:val="22"/>
                <w:lang w:val="el-GR" w:eastAsia="en-US"/>
              </w:rPr>
              <w:t>), διαμέτρου 25</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πορώδους 0,1μ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&amp; επιφάνειας φίλτρανσης 4,6</w:t>
            </w:r>
            <w:r w:rsidRPr="006C4D32">
              <w:rPr>
                <w:rFonts w:asciiTheme="minorHAnsi" w:hAnsiTheme="minorHAnsi" w:cstheme="minorHAnsi"/>
                <w:color w:val="000000"/>
                <w:szCs w:val="22"/>
                <w:lang w:val="en-US" w:eastAsia="en-US"/>
              </w:rPr>
              <w:t>cm</w:t>
            </w:r>
            <w:r w:rsidRPr="006C4D32">
              <w:rPr>
                <w:rFonts w:asciiTheme="minorHAnsi" w:hAnsiTheme="minorHAnsi" w:cstheme="minorHAnsi"/>
                <w:color w:val="000000"/>
                <w:szCs w:val="22"/>
                <w:lang w:val="el-GR" w:eastAsia="en-US"/>
              </w:rPr>
              <w:t>2. Να είναι μη αποστειρωμένα, αλλά αποστειρώσιμα, σε πακέτο των 50 τεμαχίων.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51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13</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Να είναι κατασκευασμένος από ίνες υάλου υψηλής ποιότητας. Να έχει μέγεθος πόρων 22 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Να έχει πάχος 185 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br/>
              <w:t xml:space="preserve">Να έχει βάρος 92 </w:t>
            </w:r>
            <w:r w:rsidRPr="006C4D32">
              <w:rPr>
                <w:rFonts w:asciiTheme="minorHAnsi" w:hAnsiTheme="minorHAnsi" w:cstheme="minorHAnsi"/>
                <w:color w:val="000000"/>
                <w:szCs w:val="22"/>
                <w:lang w:val="en-US" w:eastAsia="en-US"/>
              </w:rPr>
              <w:t>g</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2. Να είναι κατασκευασμένος σε ρολό διαστάσεων 3,8 </w:t>
            </w:r>
            <w:r w:rsidRPr="006C4D32">
              <w:rPr>
                <w:rFonts w:asciiTheme="minorHAnsi" w:hAnsiTheme="minorHAnsi" w:cstheme="minorHAnsi"/>
                <w:color w:val="000000"/>
                <w:szCs w:val="22"/>
                <w:lang w:val="en-US" w:eastAsia="en-US"/>
              </w:rPr>
              <w:t>cm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175 </w:t>
            </w:r>
            <w:r w:rsidRPr="006C4D32">
              <w:rPr>
                <w:rFonts w:asciiTheme="minorHAnsi" w:hAnsiTheme="minorHAnsi" w:cstheme="minorHAnsi"/>
                <w:color w:val="000000"/>
                <w:szCs w:val="22"/>
                <w:lang w:val="en-US" w:eastAsia="en-US"/>
              </w:rPr>
              <w:t>cm</w:t>
            </w:r>
            <w:r w:rsidRPr="006C4D32">
              <w:rPr>
                <w:rFonts w:asciiTheme="minorHAnsi" w:hAnsiTheme="minorHAnsi" w:cstheme="minorHAnsi"/>
                <w:color w:val="000000"/>
                <w:szCs w:val="22"/>
                <w:lang w:val="el-GR" w:eastAsia="en-US"/>
              </w:rPr>
              <w:t>.</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51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14</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Να είναι κατασκευασμένα από πολυπροπυλένιο. Να είναι συμβατά με τις πιπέττες </w:t>
            </w:r>
            <w:r w:rsidRPr="006C4D32">
              <w:rPr>
                <w:rFonts w:asciiTheme="minorHAnsi" w:hAnsiTheme="minorHAnsi" w:cstheme="minorHAnsi"/>
                <w:color w:val="000000"/>
                <w:szCs w:val="22"/>
                <w:lang w:val="en-US" w:eastAsia="en-US"/>
              </w:rPr>
              <w:t>Digipette</w:t>
            </w:r>
            <w:r w:rsidRPr="006C4D32">
              <w:rPr>
                <w:rFonts w:asciiTheme="minorHAnsi" w:hAnsiTheme="minorHAnsi" w:cstheme="minorHAnsi"/>
                <w:color w:val="000000"/>
                <w:szCs w:val="22"/>
                <w:lang w:val="el-GR" w:eastAsia="en-US"/>
              </w:rPr>
              <w:t>. Να είναι μη αποστειρωμένα, αλλά αποστειρώσιμα, σε πακέτο των 300 τεμαχίων.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15</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Να είναι κατασκευασμένες από πολυπροπυλένιο (το σώμα της σύριγγας) &amp; από πολυαιθυλένιο (το έμβολο). Να είναι 2 μερών. Να διαθέτουν ακροφύσιο </w:t>
            </w:r>
            <w:r w:rsidRPr="006C4D32">
              <w:rPr>
                <w:rFonts w:asciiTheme="minorHAnsi" w:hAnsiTheme="minorHAnsi" w:cstheme="minorHAnsi"/>
                <w:color w:val="000000"/>
                <w:szCs w:val="22"/>
                <w:lang w:val="en-US" w:eastAsia="en-US"/>
              </w:rPr>
              <w:t>Luer</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slip</w:t>
            </w:r>
            <w:r w:rsidRPr="006C4D32">
              <w:rPr>
                <w:rFonts w:asciiTheme="minorHAnsi" w:hAnsiTheme="minorHAnsi" w:cstheme="minorHAnsi"/>
                <w:color w:val="000000"/>
                <w:szCs w:val="22"/>
                <w:lang w:val="el-GR" w:eastAsia="en-US"/>
              </w:rPr>
              <w:t xml:space="preserve">. Να είναι αποστειρωμένες και συσκευασμένες ανά μία, σε πακέτο των 100 τεμαχίων. </w:t>
            </w:r>
            <w:r w:rsidRPr="006C4D32">
              <w:rPr>
                <w:rFonts w:asciiTheme="minorHAnsi" w:hAnsiTheme="minorHAnsi" w:cstheme="minorHAnsi"/>
                <w:color w:val="000000"/>
                <w:szCs w:val="22"/>
                <w:lang w:val="en-US" w:eastAsia="en-US"/>
              </w:rPr>
              <w:t>Να είναι PVC-free, pyrogen-free &amp; non-cytotoxic.</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51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16</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Να είναι κατασκευασμένα από πολυστυρένιο. Να είναι διαστάσεων 50</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9</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(διάμετρος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ύψος). Να διαθέτουν απορροφητικό </w:t>
            </w:r>
            <w:r w:rsidRPr="006C4D32">
              <w:rPr>
                <w:rFonts w:asciiTheme="minorHAnsi" w:hAnsiTheme="minorHAnsi" w:cstheme="minorHAnsi"/>
                <w:color w:val="000000"/>
                <w:szCs w:val="22"/>
                <w:lang w:val="en-US" w:eastAsia="en-US"/>
              </w:rPr>
              <w:t>pad</w:t>
            </w:r>
            <w:r w:rsidRPr="006C4D32">
              <w:rPr>
                <w:rFonts w:asciiTheme="minorHAnsi" w:hAnsiTheme="minorHAnsi" w:cstheme="minorHAnsi"/>
                <w:color w:val="000000"/>
                <w:szCs w:val="22"/>
                <w:lang w:val="el-GR" w:eastAsia="en-US"/>
              </w:rPr>
              <w:t>. Να είναι αποστειρωμένα με γ΄ ακτινοβολία &amp; συσκευασμένα σε πακέτο των 100 τεμαχίων.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78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17</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Υλικό καλλιεργειών κυττάρων εντόμων του είδους </w:t>
            </w:r>
            <w:r w:rsidRPr="006C4D32">
              <w:rPr>
                <w:rFonts w:asciiTheme="minorHAnsi" w:hAnsiTheme="minorHAnsi" w:cstheme="minorHAnsi"/>
                <w:color w:val="000000"/>
                <w:szCs w:val="22"/>
                <w:lang w:val="en-US" w:eastAsia="en-US"/>
              </w:rPr>
              <w:t>Spodoptera</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frugiperda</w:t>
            </w:r>
            <w:r w:rsidRPr="006C4D32">
              <w:rPr>
                <w:rFonts w:asciiTheme="minorHAnsi" w:hAnsiTheme="minorHAnsi" w:cstheme="minorHAnsi"/>
                <w:color w:val="000000"/>
                <w:szCs w:val="22"/>
                <w:lang w:val="el-GR" w:eastAsia="en-US"/>
              </w:rPr>
              <w:t xml:space="preserve"> των σειρών </w:t>
            </w:r>
            <w:r w:rsidRPr="006C4D32">
              <w:rPr>
                <w:rFonts w:asciiTheme="minorHAnsi" w:hAnsiTheme="minorHAnsi" w:cstheme="minorHAnsi"/>
                <w:color w:val="000000"/>
                <w:szCs w:val="22"/>
                <w:lang w:val="en-US" w:eastAsia="en-US"/>
              </w:rPr>
              <w:t>Sf</w:t>
            </w:r>
            <w:r w:rsidRPr="006C4D32">
              <w:rPr>
                <w:rFonts w:asciiTheme="minorHAnsi" w:hAnsiTheme="minorHAnsi" w:cstheme="minorHAnsi"/>
                <w:color w:val="000000"/>
                <w:szCs w:val="22"/>
                <w:lang w:val="el-GR" w:eastAsia="en-US"/>
              </w:rPr>
              <w:t xml:space="preserve">21 και </w:t>
            </w:r>
            <w:r w:rsidRPr="006C4D32">
              <w:rPr>
                <w:rFonts w:asciiTheme="minorHAnsi" w:hAnsiTheme="minorHAnsi" w:cstheme="minorHAnsi"/>
                <w:color w:val="000000"/>
                <w:szCs w:val="22"/>
                <w:lang w:val="en-US" w:eastAsia="en-US"/>
              </w:rPr>
              <w:t>Sf</w:t>
            </w:r>
            <w:r w:rsidRPr="006C4D32">
              <w:rPr>
                <w:rFonts w:asciiTheme="minorHAnsi" w:hAnsiTheme="minorHAnsi" w:cstheme="minorHAnsi"/>
                <w:color w:val="000000"/>
                <w:szCs w:val="22"/>
                <w:lang w:val="el-GR" w:eastAsia="en-US"/>
              </w:rPr>
              <w:t xml:space="preserve">9,  </w:t>
            </w:r>
            <w:r w:rsidRPr="006C4D32">
              <w:rPr>
                <w:rFonts w:asciiTheme="minorHAnsi" w:hAnsiTheme="minorHAnsi" w:cstheme="minorHAnsi"/>
                <w:color w:val="000000"/>
                <w:szCs w:val="22"/>
                <w:lang w:val="en-US" w:eastAsia="en-US"/>
              </w:rPr>
              <w:t>Sf</w:t>
            </w:r>
            <w:r w:rsidRPr="006C4D32">
              <w:rPr>
                <w:rFonts w:asciiTheme="minorHAnsi" w:hAnsiTheme="minorHAnsi" w:cstheme="minorHAnsi"/>
                <w:color w:val="000000"/>
                <w:szCs w:val="22"/>
                <w:lang w:val="el-GR" w:eastAsia="en-US"/>
              </w:rPr>
              <w:t xml:space="preserve">-900™ </w:t>
            </w:r>
            <w:r w:rsidRPr="006C4D32">
              <w:rPr>
                <w:rFonts w:asciiTheme="minorHAnsi" w:hAnsiTheme="minorHAnsi" w:cstheme="minorHAnsi"/>
                <w:color w:val="000000"/>
                <w:szCs w:val="22"/>
                <w:lang w:val="en-US" w:eastAsia="en-US"/>
              </w:rPr>
              <w:t>II</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SFM</w:t>
            </w:r>
            <w:r w:rsidRPr="006C4D32">
              <w:rPr>
                <w:rFonts w:asciiTheme="minorHAnsi" w:hAnsiTheme="minorHAnsi" w:cstheme="minorHAnsi"/>
                <w:color w:val="000000"/>
                <w:szCs w:val="22"/>
                <w:lang w:val="el-GR" w:eastAsia="en-US"/>
              </w:rPr>
              <w:t xml:space="preserve"> ή αντίστοιχο. Ελεύθερο πρωτεϊνών και ελεύθερο ορού, σε υγρή μορφή, έτοιμο προς χρήση και να περιέχει το αμινοξύ </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Glutamine</w:t>
            </w:r>
            <w:r w:rsidRPr="006C4D32">
              <w:rPr>
                <w:rFonts w:asciiTheme="minorHAnsi" w:hAnsiTheme="minorHAnsi" w:cstheme="minorHAnsi"/>
                <w:color w:val="000000"/>
                <w:szCs w:val="22"/>
                <w:lang w:val="el-GR" w:eastAsia="en-US"/>
              </w:rPr>
              <w:t xml:space="preserve">. Να επιτυγχάνει συγκεντρώσεις κυττάτων &gt;9 Χ 10Ε6 ανά </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Να μπορεί να διατηρηθεί στους 2-8 βαθμούς κελσίου για χρονικό διάστημα εως 12 μηνών. Να κατασκευάζεται σε εγκατάσταση συμβατή με </w:t>
            </w:r>
            <w:r w:rsidRPr="006C4D32">
              <w:rPr>
                <w:rFonts w:asciiTheme="minorHAnsi" w:hAnsiTheme="minorHAnsi" w:cstheme="minorHAnsi"/>
                <w:color w:val="000000"/>
                <w:szCs w:val="22"/>
                <w:lang w:val="en-US" w:eastAsia="en-US"/>
              </w:rPr>
              <w:t>cGMP</w:t>
            </w:r>
            <w:r w:rsidRPr="006C4D32">
              <w:rPr>
                <w:rFonts w:asciiTheme="minorHAnsi" w:hAnsiTheme="minorHAnsi" w:cstheme="minorHAnsi"/>
                <w:color w:val="000000"/>
                <w:szCs w:val="22"/>
                <w:lang w:val="el-GR" w:eastAsia="en-US"/>
              </w:rPr>
              <w:t xml:space="preserve">, καταχωρημένη στο </w:t>
            </w:r>
            <w:r w:rsidRPr="006C4D32">
              <w:rPr>
                <w:rFonts w:asciiTheme="minorHAnsi" w:hAnsiTheme="minorHAnsi" w:cstheme="minorHAnsi"/>
                <w:color w:val="000000"/>
                <w:szCs w:val="22"/>
                <w:lang w:val="en-US" w:eastAsia="en-US"/>
              </w:rPr>
              <w:t>FDA</w:t>
            </w:r>
            <w:r w:rsidRPr="006C4D32">
              <w:rPr>
                <w:rFonts w:asciiTheme="minorHAnsi" w:hAnsiTheme="minorHAnsi" w:cstheme="minorHAnsi"/>
                <w:color w:val="000000"/>
                <w:szCs w:val="22"/>
                <w:lang w:val="el-GR" w:eastAsia="en-US"/>
              </w:rPr>
              <w:t xml:space="preserve"> ως κατασκευαστής </w:t>
            </w:r>
            <w:r w:rsidRPr="006C4D32">
              <w:rPr>
                <w:rFonts w:asciiTheme="minorHAnsi" w:hAnsiTheme="minorHAnsi" w:cstheme="minorHAnsi"/>
                <w:color w:val="000000"/>
                <w:szCs w:val="22"/>
                <w:lang w:val="el-GR" w:eastAsia="en-US"/>
              </w:rPr>
              <w:lastRenderedPageBreak/>
              <w:t xml:space="preserve">ιατροτεχνολογικών προϊόντων και  πιστοποιημένη σύμφωνα με το πρότυπο </w:t>
            </w:r>
            <w:r w:rsidRPr="006C4D32">
              <w:rPr>
                <w:rFonts w:asciiTheme="minorHAnsi" w:hAnsiTheme="minorHAnsi" w:cstheme="minorHAnsi"/>
                <w:color w:val="000000"/>
                <w:szCs w:val="22"/>
                <w:lang w:val="en-US" w:eastAsia="en-US"/>
              </w:rPr>
              <w:t>ISO</w:t>
            </w:r>
            <w:r w:rsidRPr="006C4D32">
              <w:rPr>
                <w:rFonts w:asciiTheme="minorHAnsi" w:hAnsiTheme="minorHAnsi" w:cstheme="minorHAnsi"/>
                <w:color w:val="000000"/>
                <w:szCs w:val="22"/>
                <w:lang w:val="el-GR" w:eastAsia="en-US"/>
              </w:rPr>
              <w:t xml:space="preserve"> 13485. Να είναι σε συσκευασία των  500</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και να μπορεί να υποστηρίξει περισσότερα των 20 περασμάτων ανά καλλιέργεια. Να γίνεται τμηματική παράδοση σε χρονικό διάστημα 18 μηνών από την ημερομηνία της σύμβασης.</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78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18</w:t>
            </w:r>
          </w:p>
        </w:tc>
        <w:tc>
          <w:tcPr>
            <w:tcW w:w="2373" w:type="pct"/>
            <w:shd w:val="clear" w:color="000000" w:fill="FFFFFF"/>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Σύνθεση νουκλεοτιδικών αλληλουχιών ενσωματωμένων σε πλασμιδιακό φορέα επιλογής. Συγκεκριμένα, για έκφραση σε σύστημα ζυμομύκητα </w:t>
            </w:r>
            <w:r w:rsidRPr="006C4D32">
              <w:rPr>
                <w:rFonts w:asciiTheme="minorHAnsi" w:hAnsiTheme="minorHAnsi" w:cstheme="minorHAnsi"/>
                <w:color w:val="000000"/>
                <w:szCs w:val="22"/>
                <w:lang w:val="en-US" w:eastAsia="en-US"/>
              </w:rPr>
              <w:t>Pichia</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pastoris</w:t>
            </w:r>
            <w:r w:rsidRPr="006C4D32">
              <w:rPr>
                <w:rFonts w:asciiTheme="minorHAnsi" w:hAnsiTheme="minorHAnsi" w:cstheme="minorHAnsi"/>
                <w:color w:val="000000"/>
                <w:szCs w:val="22"/>
                <w:lang w:val="el-GR" w:eastAsia="en-US"/>
              </w:rPr>
              <w:t xml:space="preserve"> να παρέχεται ενσωματωμένη σε: </w:t>
            </w:r>
            <w:r w:rsidRPr="006C4D32">
              <w:rPr>
                <w:rFonts w:asciiTheme="minorHAnsi" w:hAnsiTheme="minorHAnsi" w:cstheme="minorHAnsi"/>
                <w:color w:val="000000"/>
                <w:szCs w:val="22"/>
                <w:lang w:val="en-US" w:eastAsia="en-US"/>
              </w:rPr>
              <w:t>pPICZaA</w:t>
            </w:r>
            <w:r w:rsidRPr="006C4D32">
              <w:rPr>
                <w:rFonts w:asciiTheme="minorHAnsi" w:hAnsiTheme="minorHAnsi" w:cstheme="minorHAnsi"/>
                <w:color w:val="000000"/>
                <w:szCs w:val="22"/>
                <w:lang w:val="el-GR" w:eastAsia="en-US"/>
              </w:rPr>
              <w:t xml:space="preserve"> ή Β ή </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pPIC</w:t>
            </w:r>
            <w:r w:rsidRPr="006C4D32">
              <w:rPr>
                <w:rFonts w:asciiTheme="minorHAnsi" w:hAnsiTheme="minorHAnsi" w:cstheme="minorHAnsi"/>
                <w:color w:val="000000"/>
                <w:szCs w:val="22"/>
                <w:lang w:val="el-GR" w:eastAsia="en-US"/>
              </w:rPr>
              <w:t xml:space="preserve">9, </w:t>
            </w:r>
            <w:r w:rsidRPr="006C4D32">
              <w:rPr>
                <w:rFonts w:asciiTheme="minorHAnsi" w:hAnsiTheme="minorHAnsi" w:cstheme="minorHAnsi"/>
                <w:color w:val="000000"/>
                <w:szCs w:val="22"/>
                <w:lang w:val="en-US" w:eastAsia="en-US"/>
              </w:rPr>
              <w:t>pPIC</w:t>
            </w:r>
            <w:r w:rsidRPr="006C4D32">
              <w:rPr>
                <w:rFonts w:asciiTheme="minorHAnsi" w:hAnsiTheme="minorHAnsi" w:cstheme="minorHAnsi"/>
                <w:color w:val="000000"/>
                <w:szCs w:val="22"/>
                <w:lang w:val="el-GR" w:eastAsia="en-US"/>
              </w:rPr>
              <w:t>3.5</w:t>
            </w:r>
            <w:r w:rsidRPr="006C4D32">
              <w:rPr>
                <w:rFonts w:asciiTheme="minorHAnsi" w:hAnsiTheme="minorHAnsi" w:cstheme="minorHAnsi"/>
                <w:color w:val="000000"/>
                <w:szCs w:val="22"/>
                <w:lang w:val="en-US" w:eastAsia="en-US"/>
              </w:rPr>
              <w:t>K</w:t>
            </w:r>
            <w:r w:rsidRPr="006C4D32">
              <w:rPr>
                <w:rFonts w:asciiTheme="minorHAnsi" w:hAnsiTheme="minorHAnsi" w:cstheme="minorHAnsi"/>
                <w:color w:val="000000"/>
                <w:szCs w:val="22"/>
                <w:lang w:val="el-GR" w:eastAsia="en-US"/>
              </w:rPr>
              <w:t xml:space="preserve">, για έκφραση σε σύστημα κυττάρων εντόμων να παρέχεται ενσωματωμένη σε: </w:t>
            </w:r>
            <w:r w:rsidRPr="006C4D32">
              <w:rPr>
                <w:rFonts w:asciiTheme="minorHAnsi" w:hAnsiTheme="minorHAnsi" w:cstheme="minorHAnsi"/>
                <w:color w:val="000000"/>
                <w:szCs w:val="22"/>
                <w:lang w:val="en-US" w:eastAsia="en-US"/>
              </w:rPr>
              <w:t>pFastBacI</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pFastBac</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Dual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pFastBacHT</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w:t>
            </w:r>
            <w:r w:rsidRPr="006C4D32">
              <w:rPr>
                <w:rFonts w:asciiTheme="minorHAnsi" w:hAnsiTheme="minorHAnsi" w:cstheme="minorHAnsi"/>
                <w:color w:val="000000"/>
                <w:szCs w:val="22"/>
                <w:lang w:val="el-GR" w:eastAsia="en-US"/>
              </w:rPr>
              <w:t xml:space="preserve">, για έκφραση σε σύστημα θηλαστικών να παρέχεται ενσωματωμένη σε: </w:t>
            </w:r>
            <w:r w:rsidRPr="006C4D32">
              <w:rPr>
                <w:rFonts w:asciiTheme="minorHAnsi" w:hAnsiTheme="minorHAnsi" w:cstheme="minorHAnsi"/>
                <w:color w:val="000000"/>
                <w:szCs w:val="22"/>
                <w:lang w:val="en-US" w:eastAsia="en-US"/>
              </w:rPr>
              <w:t>pcDNA</w:t>
            </w:r>
            <w:r w:rsidRPr="006C4D32">
              <w:rPr>
                <w:rFonts w:asciiTheme="minorHAnsi" w:hAnsiTheme="minorHAnsi" w:cstheme="minorHAnsi"/>
                <w:color w:val="000000"/>
                <w:szCs w:val="22"/>
                <w:lang w:val="el-GR" w:eastAsia="en-US"/>
              </w:rPr>
              <w:t xml:space="preserve">3.0, </w:t>
            </w:r>
            <w:r w:rsidRPr="006C4D32">
              <w:rPr>
                <w:rFonts w:asciiTheme="minorHAnsi" w:hAnsiTheme="minorHAnsi" w:cstheme="minorHAnsi"/>
                <w:color w:val="000000"/>
                <w:szCs w:val="22"/>
                <w:lang w:val="en-US" w:eastAsia="en-US"/>
              </w:rPr>
              <w:t>pcDNA</w:t>
            </w:r>
            <w:r w:rsidRPr="006C4D32">
              <w:rPr>
                <w:rFonts w:asciiTheme="minorHAnsi" w:hAnsiTheme="minorHAnsi" w:cstheme="minorHAnsi"/>
                <w:color w:val="000000"/>
                <w:szCs w:val="22"/>
                <w:lang w:val="el-GR" w:eastAsia="en-US"/>
              </w:rPr>
              <w:t xml:space="preserve">3.1, για έκφραση σε  βακτηριακό σύστημα να παρέχεται ενσωματωμένη σε: </w:t>
            </w:r>
            <w:r w:rsidRPr="006C4D32">
              <w:rPr>
                <w:rFonts w:asciiTheme="minorHAnsi" w:hAnsiTheme="minorHAnsi" w:cstheme="minorHAnsi"/>
                <w:color w:val="000000"/>
                <w:szCs w:val="22"/>
                <w:lang w:val="en-US" w:eastAsia="en-US"/>
              </w:rPr>
              <w:t>pET</w:t>
            </w:r>
            <w:r w:rsidRPr="006C4D32">
              <w:rPr>
                <w:rFonts w:asciiTheme="minorHAnsi" w:hAnsiTheme="minorHAnsi" w:cstheme="minorHAnsi"/>
                <w:color w:val="000000"/>
                <w:szCs w:val="22"/>
                <w:lang w:val="el-GR" w:eastAsia="en-US"/>
              </w:rPr>
              <w:t>-15</w:t>
            </w:r>
            <w:r w:rsidRPr="006C4D32">
              <w:rPr>
                <w:rFonts w:asciiTheme="minorHAnsi" w:hAnsiTheme="minorHAnsi" w:cstheme="minorHAnsi"/>
                <w:color w:val="000000"/>
                <w:szCs w:val="22"/>
                <w:lang w:val="en-US" w:eastAsia="en-US"/>
              </w:rPr>
              <w:t>b</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pET</w:t>
            </w:r>
            <w:r w:rsidRPr="006C4D32">
              <w:rPr>
                <w:rFonts w:asciiTheme="minorHAnsi" w:hAnsiTheme="minorHAnsi" w:cstheme="minorHAnsi"/>
                <w:color w:val="000000"/>
                <w:szCs w:val="22"/>
                <w:lang w:val="el-GR" w:eastAsia="en-US"/>
              </w:rPr>
              <w:t xml:space="preserve">-21, </w:t>
            </w:r>
            <w:r w:rsidRPr="006C4D32">
              <w:rPr>
                <w:rFonts w:asciiTheme="minorHAnsi" w:hAnsiTheme="minorHAnsi" w:cstheme="minorHAnsi"/>
                <w:color w:val="000000"/>
                <w:szCs w:val="22"/>
                <w:lang w:val="en-US" w:eastAsia="en-US"/>
              </w:rPr>
              <w:t>pET</w:t>
            </w:r>
            <w:r w:rsidRPr="006C4D32">
              <w:rPr>
                <w:rFonts w:asciiTheme="minorHAnsi" w:hAnsiTheme="minorHAnsi" w:cstheme="minorHAnsi"/>
                <w:color w:val="000000"/>
                <w:szCs w:val="22"/>
                <w:lang w:val="el-GR" w:eastAsia="en-US"/>
              </w:rPr>
              <w:t>-26</w:t>
            </w:r>
            <w:r w:rsidRPr="006C4D32">
              <w:rPr>
                <w:rFonts w:asciiTheme="minorHAnsi" w:hAnsiTheme="minorHAnsi" w:cstheme="minorHAnsi"/>
                <w:color w:val="000000"/>
                <w:szCs w:val="22"/>
                <w:lang w:val="en-US" w:eastAsia="en-US"/>
              </w:rPr>
              <w:t>b</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pET</w:t>
            </w:r>
            <w:r w:rsidRPr="006C4D32">
              <w:rPr>
                <w:rFonts w:asciiTheme="minorHAnsi" w:hAnsiTheme="minorHAnsi" w:cstheme="minorHAnsi"/>
                <w:color w:val="000000"/>
                <w:szCs w:val="22"/>
                <w:lang w:val="el-GR" w:eastAsia="en-US"/>
              </w:rPr>
              <w:t>-28 κ.α. Να προσφέρεται σε ποσότητα τουλάχιστον 4 μ</w:t>
            </w:r>
            <w:r w:rsidRPr="006C4D32">
              <w:rPr>
                <w:rFonts w:asciiTheme="minorHAnsi" w:hAnsiTheme="minorHAnsi" w:cstheme="minorHAnsi"/>
                <w:color w:val="000000"/>
                <w:szCs w:val="22"/>
                <w:lang w:val="en-US" w:eastAsia="en-US"/>
              </w:rPr>
              <w:t>g</w:t>
            </w:r>
            <w:r w:rsidRPr="006C4D32">
              <w:rPr>
                <w:rFonts w:asciiTheme="minorHAnsi" w:hAnsiTheme="minorHAnsi" w:cstheme="minorHAnsi"/>
                <w:color w:val="000000"/>
                <w:szCs w:val="22"/>
                <w:lang w:val="el-GR" w:eastAsia="en-US"/>
              </w:rPr>
              <w:t xml:space="preserve"> με 100% εγγύηση αλληλουχίας. Κόστος ανά ζεύγος βάσεων εως 0.24 ευρώ συμπεριλαμβανομένων των μεταφορικών εξόδων. Να δοθεί τιμή ανά ζεύγος βάσεων και να γίνεται τμηματική παράδοση σε χρονική διάρκεια 12 μηνών.</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03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19</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NcoI</w:t>
            </w:r>
            <w:r w:rsidRPr="006C4D32">
              <w:rPr>
                <w:rFonts w:asciiTheme="minorHAnsi" w:hAnsiTheme="minorHAnsi" w:cstheme="minorHAnsi"/>
                <w:color w:val="000000"/>
                <w:szCs w:val="22"/>
                <w:lang w:val="el-GR" w:eastAsia="en-US"/>
              </w:rPr>
              <w:t xml:space="preserve">, συγκέντρωσης 10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xml:space="preserve">). Το ένζυμο να συνοδεύεται από διάλυμα αντίδρασης που έχει την εξής σύσταση (1Χ): 100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NaCl</w:t>
            </w:r>
            <w:r w:rsidRPr="006C4D32">
              <w:rPr>
                <w:rFonts w:asciiTheme="minorHAnsi" w:hAnsiTheme="minorHAnsi" w:cstheme="minorHAnsi"/>
                <w:color w:val="000000"/>
                <w:szCs w:val="22"/>
                <w:lang w:val="el-GR" w:eastAsia="en-US"/>
              </w:rPr>
              <w:t xml:space="preserve">, 50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Tris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HCl</w:t>
            </w:r>
            <w:r w:rsidRPr="006C4D32">
              <w:rPr>
                <w:rFonts w:asciiTheme="minorHAnsi" w:hAnsiTheme="minorHAnsi" w:cstheme="minorHAnsi"/>
                <w:color w:val="000000"/>
                <w:szCs w:val="22"/>
                <w:lang w:val="el-GR" w:eastAsia="en-US"/>
              </w:rPr>
              <w:t xml:space="preserve">, 10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MgCl</w:t>
            </w:r>
            <w:r w:rsidRPr="006C4D32">
              <w:rPr>
                <w:rFonts w:asciiTheme="minorHAnsi" w:hAnsiTheme="minorHAnsi" w:cstheme="minorHAnsi"/>
                <w:color w:val="000000"/>
                <w:szCs w:val="22"/>
                <w:lang w:val="el-GR" w:eastAsia="en-US"/>
              </w:rPr>
              <w:t>2, 100 µ</w:t>
            </w:r>
            <w:r w:rsidRPr="006C4D32">
              <w:rPr>
                <w:rFonts w:asciiTheme="minorHAnsi" w:hAnsiTheme="minorHAnsi" w:cstheme="minorHAnsi"/>
                <w:color w:val="000000"/>
                <w:szCs w:val="22"/>
                <w:lang w:val="en-US" w:eastAsia="en-US"/>
              </w:rPr>
              <w:t>g</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7.9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Επιπλέον μαζί να παρέχεται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Συσκευασία: 50.000 units (μονάδες ενζυμικής δράσης-ενεργότητας).</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20</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PstI</w:t>
            </w:r>
            <w:r w:rsidRPr="006C4D32">
              <w:rPr>
                <w:rFonts w:asciiTheme="minorHAnsi" w:hAnsiTheme="minorHAnsi" w:cstheme="minorHAnsi"/>
                <w:color w:val="000000"/>
                <w:szCs w:val="22"/>
                <w:lang w:val="el-GR" w:eastAsia="en-US"/>
              </w:rPr>
              <w:t xml:space="preserve">, συγκέντρωσης 20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xml:space="preserve">). Το ένζυμο να συνοδεύεται από διάλυμα αντίδρασης που έχει την εξής σύσταση (1Χ): 100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NaCl</w:t>
            </w:r>
            <w:r w:rsidRPr="006C4D32">
              <w:rPr>
                <w:rFonts w:asciiTheme="minorHAnsi" w:hAnsiTheme="minorHAnsi" w:cstheme="minorHAnsi"/>
                <w:color w:val="000000"/>
                <w:szCs w:val="22"/>
                <w:lang w:val="el-GR" w:eastAsia="en-US"/>
              </w:rPr>
              <w:t xml:space="preserve">, 50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Tris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HCl</w:t>
            </w:r>
            <w:r w:rsidRPr="006C4D32">
              <w:rPr>
                <w:rFonts w:asciiTheme="minorHAnsi" w:hAnsiTheme="minorHAnsi" w:cstheme="minorHAnsi"/>
                <w:color w:val="000000"/>
                <w:szCs w:val="22"/>
                <w:lang w:val="el-GR" w:eastAsia="en-US"/>
              </w:rPr>
              <w:t xml:space="preserve">, 10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MgCl</w:t>
            </w:r>
            <w:r w:rsidRPr="006C4D32">
              <w:rPr>
                <w:rFonts w:asciiTheme="minorHAnsi" w:hAnsiTheme="minorHAnsi" w:cstheme="minorHAnsi"/>
                <w:color w:val="000000"/>
                <w:szCs w:val="22"/>
                <w:lang w:val="el-GR" w:eastAsia="en-US"/>
              </w:rPr>
              <w:t>2, 100 µ</w:t>
            </w:r>
            <w:r w:rsidRPr="006C4D32">
              <w:rPr>
                <w:rFonts w:asciiTheme="minorHAnsi" w:hAnsiTheme="minorHAnsi" w:cstheme="minorHAnsi"/>
                <w:color w:val="000000"/>
                <w:szCs w:val="22"/>
                <w:lang w:val="en-US" w:eastAsia="en-US"/>
              </w:rPr>
              <w:t>g</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7.9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Επιπλέον μαζί να παρέχεται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lastRenderedPageBreak/>
              <w:t xml:space="preserve">Συσκευασία: 50.000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54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21</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SacI</w:t>
            </w:r>
            <w:r w:rsidRPr="006C4D32">
              <w:rPr>
                <w:rFonts w:asciiTheme="minorHAnsi" w:hAnsiTheme="minorHAnsi" w:cstheme="minorHAnsi"/>
                <w:color w:val="000000"/>
                <w:szCs w:val="22"/>
                <w:lang w:val="el-GR" w:eastAsia="en-US"/>
              </w:rPr>
              <w:t xml:space="preserve"> - υψηλής πιστότητας (</w:t>
            </w:r>
            <w:r w:rsidRPr="006C4D32">
              <w:rPr>
                <w:rFonts w:asciiTheme="minorHAnsi" w:hAnsiTheme="minorHAnsi" w:cstheme="minorHAnsi"/>
                <w:color w:val="000000"/>
                <w:szCs w:val="22"/>
                <w:lang w:val="en-US" w:eastAsia="en-US"/>
              </w:rPr>
              <w:t>high</w:t>
            </w:r>
            <w:r w:rsidRPr="006C4D32">
              <w:rPr>
                <w:rFonts w:asciiTheme="minorHAnsi" w:hAnsiTheme="minorHAnsi" w:cstheme="minorHAnsi"/>
                <w:color w:val="000000"/>
                <w:szCs w:val="22"/>
                <w:lang w:val="el-GR" w:eastAsia="en-US"/>
              </w:rPr>
              <w:t xml:space="preserve"> - </w:t>
            </w:r>
            <w:r w:rsidRPr="006C4D32">
              <w:rPr>
                <w:rFonts w:asciiTheme="minorHAnsi" w:hAnsiTheme="minorHAnsi" w:cstheme="minorHAnsi"/>
                <w:color w:val="000000"/>
                <w:szCs w:val="22"/>
                <w:lang w:val="en-US" w:eastAsia="en-US"/>
              </w:rPr>
              <w:t>fidelity</w:t>
            </w:r>
            <w:r w:rsidRPr="006C4D32">
              <w:rPr>
                <w:rFonts w:asciiTheme="minorHAnsi" w:hAnsiTheme="minorHAnsi" w:cstheme="minorHAnsi"/>
                <w:color w:val="000000"/>
                <w:szCs w:val="22"/>
                <w:lang w:val="el-GR" w:eastAsia="en-US"/>
              </w:rPr>
              <w:t xml:space="preserve">) για μειωμένο </w:t>
            </w:r>
            <w:r w:rsidRPr="006C4D32">
              <w:rPr>
                <w:rFonts w:asciiTheme="minorHAnsi" w:hAnsiTheme="minorHAnsi" w:cstheme="minorHAnsi"/>
                <w:color w:val="000000"/>
                <w:szCs w:val="22"/>
                <w:lang w:val="en-US" w:eastAsia="en-US"/>
              </w:rPr>
              <w:t>star</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activity</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t xml:space="preserve">Συσκευασία: 10.000 </w:t>
            </w:r>
            <w:r w:rsidRPr="006C4D32">
              <w:rPr>
                <w:rFonts w:asciiTheme="minorHAnsi" w:hAnsiTheme="minorHAnsi" w:cstheme="minorHAnsi"/>
                <w:color w:val="000000"/>
                <w:szCs w:val="22"/>
                <w:lang w:val="en-US" w:eastAsia="en-US"/>
              </w:rPr>
              <w:t>units</w:t>
            </w:r>
            <w:r w:rsidRPr="006C4D32">
              <w:rPr>
                <w:rFonts w:asciiTheme="minorHAnsi" w:hAnsiTheme="minorHAnsi" w:cstheme="minorHAnsi"/>
                <w:color w:val="000000"/>
                <w:szCs w:val="22"/>
                <w:lang w:val="el-GR" w:eastAsia="en-US"/>
              </w:rPr>
              <w:t xml:space="preserve"> (μονάδες ενζυμικής δράσης-ενεργότητας) σε συγκέντρωση  20 </w:t>
            </w:r>
            <w:r w:rsidRPr="006C4D32">
              <w:rPr>
                <w:rFonts w:asciiTheme="minorHAnsi" w:hAnsiTheme="minorHAnsi" w:cstheme="minorHAnsi"/>
                <w:color w:val="000000"/>
                <w:szCs w:val="22"/>
                <w:lang w:val="en-US" w:eastAsia="en-US"/>
              </w:rPr>
              <w:t>units</w:t>
            </w:r>
            <w:r w:rsidRPr="006C4D32">
              <w:rPr>
                <w:rFonts w:asciiTheme="minorHAnsi" w:hAnsiTheme="minorHAnsi" w:cstheme="minorHAnsi"/>
                <w:color w:val="000000"/>
                <w:szCs w:val="22"/>
                <w:lang w:val="el-GR" w:eastAsia="en-US"/>
              </w:rPr>
              <w:t xml:space="preserve">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22</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AfeI</w:t>
            </w:r>
            <w:r w:rsidRPr="006C4D32">
              <w:rPr>
                <w:rFonts w:asciiTheme="minorHAnsi" w:hAnsiTheme="minorHAnsi" w:cstheme="minorHAnsi"/>
                <w:color w:val="000000"/>
                <w:szCs w:val="22"/>
                <w:lang w:val="el-GR" w:eastAsia="en-US"/>
              </w:rPr>
              <w:t xml:space="preserve">, συγκέντρωσης 10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 xml:space="preserve">Συσκευασία: 1.000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154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23</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NheI</w:t>
            </w:r>
            <w:r w:rsidRPr="006C4D32">
              <w:rPr>
                <w:rFonts w:asciiTheme="minorHAnsi" w:hAnsiTheme="minorHAnsi" w:cstheme="minorHAnsi"/>
                <w:color w:val="000000"/>
                <w:szCs w:val="22"/>
                <w:lang w:val="el-GR" w:eastAsia="en-US"/>
              </w:rPr>
              <w:t>- υψηλής πιστότητας (</w:t>
            </w:r>
            <w:r w:rsidRPr="006C4D32">
              <w:rPr>
                <w:rFonts w:asciiTheme="minorHAnsi" w:hAnsiTheme="minorHAnsi" w:cstheme="minorHAnsi"/>
                <w:color w:val="000000"/>
                <w:szCs w:val="22"/>
                <w:lang w:val="en-US" w:eastAsia="en-US"/>
              </w:rPr>
              <w:t>high</w:t>
            </w:r>
            <w:r w:rsidRPr="006C4D32">
              <w:rPr>
                <w:rFonts w:asciiTheme="minorHAnsi" w:hAnsiTheme="minorHAnsi" w:cstheme="minorHAnsi"/>
                <w:color w:val="000000"/>
                <w:szCs w:val="22"/>
                <w:lang w:val="el-GR" w:eastAsia="en-US"/>
              </w:rPr>
              <w:t xml:space="preserve"> - </w:t>
            </w:r>
            <w:r w:rsidRPr="006C4D32">
              <w:rPr>
                <w:rFonts w:asciiTheme="minorHAnsi" w:hAnsiTheme="minorHAnsi" w:cstheme="minorHAnsi"/>
                <w:color w:val="000000"/>
                <w:szCs w:val="22"/>
                <w:lang w:val="en-US" w:eastAsia="en-US"/>
              </w:rPr>
              <w:t>fidelity</w:t>
            </w:r>
            <w:r w:rsidRPr="006C4D32">
              <w:rPr>
                <w:rFonts w:asciiTheme="minorHAnsi" w:hAnsiTheme="minorHAnsi" w:cstheme="minorHAnsi"/>
                <w:color w:val="000000"/>
                <w:szCs w:val="22"/>
                <w:lang w:val="el-GR" w:eastAsia="en-US"/>
              </w:rPr>
              <w:t xml:space="preserve">) για μειωμένο </w:t>
            </w:r>
            <w:r w:rsidRPr="006C4D32">
              <w:rPr>
                <w:rFonts w:asciiTheme="minorHAnsi" w:hAnsiTheme="minorHAnsi" w:cstheme="minorHAnsi"/>
                <w:color w:val="000000"/>
                <w:szCs w:val="22"/>
                <w:lang w:val="en-US" w:eastAsia="en-US"/>
              </w:rPr>
              <w:t>star</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activity</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t xml:space="preserve">Συσκευασία: 5.000 </w:t>
            </w:r>
            <w:r w:rsidRPr="006C4D32">
              <w:rPr>
                <w:rFonts w:asciiTheme="minorHAnsi" w:hAnsiTheme="minorHAnsi" w:cstheme="minorHAnsi"/>
                <w:color w:val="000000"/>
                <w:szCs w:val="22"/>
                <w:lang w:val="en-US" w:eastAsia="en-US"/>
              </w:rPr>
              <w:t>units</w:t>
            </w:r>
            <w:r w:rsidRPr="006C4D32">
              <w:rPr>
                <w:rFonts w:asciiTheme="minorHAnsi" w:hAnsiTheme="minorHAnsi" w:cstheme="minorHAnsi"/>
                <w:color w:val="000000"/>
                <w:szCs w:val="22"/>
                <w:lang w:val="el-GR" w:eastAsia="en-US"/>
              </w:rPr>
              <w:t xml:space="preserve"> (μονάδες ενζυμικής δράσης-ενεργότητας) σε συγκέντρωση  20 </w:t>
            </w:r>
            <w:r w:rsidRPr="006C4D32">
              <w:rPr>
                <w:rFonts w:asciiTheme="minorHAnsi" w:hAnsiTheme="minorHAnsi" w:cstheme="minorHAnsi"/>
                <w:color w:val="000000"/>
                <w:szCs w:val="22"/>
                <w:lang w:val="en-US" w:eastAsia="en-US"/>
              </w:rPr>
              <w:t>units</w:t>
            </w:r>
            <w:r w:rsidRPr="006C4D32">
              <w:rPr>
                <w:rFonts w:asciiTheme="minorHAnsi" w:hAnsiTheme="minorHAnsi" w:cstheme="minorHAnsi"/>
                <w:color w:val="000000"/>
                <w:szCs w:val="22"/>
                <w:lang w:val="el-GR" w:eastAsia="en-US"/>
              </w:rPr>
              <w:t xml:space="preserve"> /μ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24</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PacI</w:t>
            </w:r>
            <w:r w:rsidRPr="006C4D32">
              <w:rPr>
                <w:rFonts w:asciiTheme="minorHAnsi" w:hAnsiTheme="minorHAnsi" w:cstheme="minorHAnsi"/>
                <w:color w:val="000000"/>
                <w:szCs w:val="22"/>
                <w:lang w:val="el-GR" w:eastAsia="en-US"/>
              </w:rPr>
              <w:t xml:space="preserve">, συγκέντρωσης 10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Συσκευασία: 1.250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25</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XbaI</w:t>
            </w:r>
            <w:r w:rsidRPr="006C4D32">
              <w:rPr>
                <w:rFonts w:asciiTheme="minorHAnsi" w:hAnsiTheme="minorHAnsi" w:cstheme="minorHAnsi"/>
                <w:color w:val="000000"/>
                <w:szCs w:val="22"/>
                <w:lang w:val="el-GR" w:eastAsia="en-US"/>
              </w:rPr>
              <w:t xml:space="preserve">, συγκέντρωσης 20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Συσκευασία: 15.000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26</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XhoI</w:t>
            </w:r>
            <w:r w:rsidRPr="006C4D32">
              <w:rPr>
                <w:rFonts w:asciiTheme="minorHAnsi" w:hAnsiTheme="minorHAnsi" w:cstheme="minorHAnsi"/>
                <w:color w:val="000000"/>
                <w:szCs w:val="22"/>
                <w:lang w:val="el-GR" w:eastAsia="en-US"/>
              </w:rPr>
              <w:t xml:space="preserve">, συγκέντρωσης 20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Συσκευασία: 25.000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27</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PmeI</w:t>
            </w:r>
            <w:r w:rsidRPr="006C4D32">
              <w:rPr>
                <w:rFonts w:asciiTheme="minorHAnsi" w:hAnsiTheme="minorHAnsi" w:cstheme="minorHAnsi"/>
                <w:color w:val="000000"/>
                <w:szCs w:val="22"/>
                <w:lang w:val="el-GR" w:eastAsia="en-US"/>
              </w:rPr>
              <w:t xml:space="preserve">, συγκέντρωσης 10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Να δρα με 100% απόδοση σε ένα διάλυμα αντίδρασης κοινό για όλα τα ένζυμα περιορισμού υψηλής πιστότητας (</w:t>
            </w:r>
            <w:r w:rsidRPr="006C4D32">
              <w:rPr>
                <w:rFonts w:asciiTheme="minorHAnsi" w:hAnsiTheme="minorHAnsi" w:cstheme="minorHAnsi"/>
                <w:color w:val="000000"/>
                <w:szCs w:val="22"/>
                <w:lang w:val="en-US" w:eastAsia="en-US"/>
              </w:rPr>
              <w:t>CutSmart</w:t>
            </w:r>
            <w:r w:rsidRPr="006C4D32">
              <w:rPr>
                <w:rFonts w:asciiTheme="minorHAnsi" w:hAnsiTheme="minorHAnsi" w:cstheme="minorHAnsi"/>
                <w:color w:val="000000"/>
                <w:szCs w:val="22"/>
                <w:lang w:val="el-GR" w:eastAsia="en-US"/>
              </w:rPr>
              <w:t xml:space="preserve">). Το διάλυμα αντίδρασης να περιέχει </w:t>
            </w:r>
            <w:r w:rsidRPr="006C4D32">
              <w:rPr>
                <w:rFonts w:asciiTheme="minorHAnsi" w:hAnsiTheme="minorHAnsi" w:cstheme="minorHAnsi"/>
                <w:color w:val="000000"/>
                <w:szCs w:val="22"/>
                <w:lang w:val="en-US" w:eastAsia="en-US"/>
              </w:rPr>
              <w:t>BSA</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l-GR" w:eastAsia="en-US"/>
              </w:rPr>
              <w:lastRenderedPageBreak/>
              <w:t xml:space="preserve">να είναι ελεγμένο για δράση  </w:t>
            </w:r>
            <w:r w:rsidRPr="006C4D32">
              <w:rPr>
                <w:rFonts w:asciiTheme="minorHAnsi" w:hAnsiTheme="minorHAnsi" w:cstheme="minorHAnsi"/>
                <w:color w:val="000000"/>
                <w:szCs w:val="22"/>
                <w:lang w:val="en-US" w:eastAsia="en-US"/>
              </w:rPr>
              <w:t>Dnase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Rnase</w:t>
            </w:r>
            <w:r w:rsidRPr="006C4D32">
              <w:rPr>
                <w:rFonts w:asciiTheme="minorHAnsi" w:hAnsiTheme="minorHAnsi" w:cstheme="minorHAnsi"/>
                <w:color w:val="000000"/>
                <w:szCs w:val="22"/>
                <w:lang w:val="el-GR" w:eastAsia="en-US"/>
              </w:rPr>
              <w:t>. Με το ένζυμο να παρέχεται  το  διάλυμα αντίδρασης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Συσκευασία: 2.500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28</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Ανασυνδυασμένο ένζυμο περιορισμού </w:t>
            </w:r>
            <w:r w:rsidRPr="006C4D32">
              <w:rPr>
                <w:rFonts w:asciiTheme="minorHAnsi" w:hAnsiTheme="minorHAnsi" w:cstheme="minorHAnsi"/>
                <w:color w:val="000000"/>
                <w:szCs w:val="22"/>
                <w:lang w:val="en-US" w:eastAsia="en-US"/>
              </w:rPr>
              <w:t>EcoRI</w:t>
            </w:r>
            <w:r w:rsidRPr="006C4D32">
              <w:rPr>
                <w:rFonts w:asciiTheme="minorHAnsi" w:hAnsiTheme="minorHAnsi" w:cstheme="minorHAnsi"/>
                <w:color w:val="000000"/>
                <w:szCs w:val="22"/>
                <w:lang w:val="el-GR" w:eastAsia="en-US"/>
              </w:rPr>
              <w:t xml:space="preserve">, συγκέντρωσης 20 </w:t>
            </w:r>
            <w:r w:rsidRPr="006C4D32">
              <w:rPr>
                <w:rFonts w:asciiTheme="minorHAnsi" w:hAnsiTheme="minorHAnsi" w:cstheme="minorHAnsi"/>
                <w:color w:val="000000"/>
                <w:szCs w:val="22"/>
                <w:lang w:val="en-US" w:eastAsia="en-US"/>
              </w:rPr>
              <w:t>u</w:t>
            </w:r>
            <w:r w:rsidRPr="006C4D32">
              <w:rPr>
                <w:rFonts w:asciiTheme="minorHAnsi" w:hAnsiTheme="minorHAnsi" w:cstheme="minorHAnsi"/>
                <w:color w:val="000000"/>
                <w:szCs w:val="22"/>
                <w:lang w:val="el-GR" w:eastAsia="en-US"/>
              </w:rPr>
              <w:t>/μ</w:t>
            </w:r>
            <w:r w:rsidRPr="006C4D32">
              <w:rPr>
                <w:rFonts w:asciiTheme="minorHAnsi" w:hAnsiTheme="minorHAnsi" w:cstheme="minorHAnsi"/>
                <w:color w:val="000000"/>
                <w:szCs w:val="22"/>
                <w:lang w:val="en-US" w:eastAsia="en-US"/>
              </w:rPr>
              <w:t>l</w:t>
            </w:r>
            <w:r w:rsidRPr="006C4D32">
              <w:rPr>
                <w:rFonts w:asciiTheme="minorHAnsi" w:hAnsiTheme="minorHAnsi" w:cstheme="minorHAnsi"/>
                <w:color w:val="000000"/>
                <w:szCs w:val="22"/>
                <w:lang w:val="el-GR" w:eastAsia="en-US"/>
              </w:rPr>
              <w:t>. Να κόβει αποτελεσματικά σε 5-15 λεπτά επώασης αλλά και να "αντέχει" σε πολύωρη πέψη (</w:t>
            </w:r>
            <w:r w:rsidRPr="006C4D32">
              <w:rPr>
                <w:rFonts w:asciiTheme="minorHAnsi" w:hAnsiTheme="minorHAnsi" w:cstheme="minorHAnsi"/>
                <w:color w:val="000000"/>
                <w:szCs w:val="22"/>
                <w:lang w:val="en-US" w:eastAsia="en-US"/>
              </w:rPr>
              <w:t>overnight</w:t>
            </w:r>
            <w:r w:rsidRPr="006C4D32">
              <w:rPr>
                <w:rFonts w:asciiTheme="minorHAnsi" w:hAnsiTheme="minorHAnsi" w:cstheme="minorHAnsi"/>
                <w:color w:val="000000"/>
                <w:szCs w:val="22"/>
                <w:lang w:val="el-GR" w:eastAsia="en-US"/>
              </w:rPr>
              <w:t xml:space="preserve">). Το ένζυμο να συνοδεύεται από διάλυμα αντίδρασης που έχει την εξής σύσταση (1Χ): 100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Tris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HCl</w:t>
            </w:r>
            <w:r w:rsidRPr="006C4D32">
              <w:rPr>
                <w:rFonts w:asciiTheme="minorHAnsi" w:hAnsiTheme="minorHAnsi" w:cstheme="minorHAnsi"/>
                <w:color w:val="000000"/>
                <w:szCs w:val="22"/>
                <w:lang w:val="el-GR" w:eastAsia="en-US"/>
              </w:rPr>
              <w:t xml:space="preserve">, 50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NaCl</w:t>
            </w:r>
            <w:r w:rsidRPr="006C4D32">
              <w:rPr>
                <w:rFonts w:asciiTheme="minorHAnsi" w:hAnsiTheme="minorHAnsi" w:cstheme="minorHAnsi"/>
                <w:color w:val="000000"/>
                <w:szCs w:val="22"/>
                <w:lang w:val="el-GR" w:eastAsia="en-US"/>
              </w:rPr>
              <w:t xml:space="preserve">, 10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MgCl</w:t>
            </w:r>
            <w:r w:rsidRPr="006C4D32">
              <w:rPr>
                <w:rFonts w:asciiTheme="minorHAnsi" w:hAnsiTheme="minorHAnsi" w:cstheme="minorHAnsi"/>
                <w:color w:val="000000"/>
                <w:szCs w:val="22"/>
                <w:lang w:val="el-GR" w:eastAsia="en-US"/>
              </w:rPr>
              <w:t xml:space="preserve">2, 0.025% </w:t>
            </w:r>
            <w:r w:rsidRPr="006C4D32">
              <w:rPr>
                <w:rFonts w:asciiTheme="minorHAnsi" w:hAnsiTheme="minorHAnsi" w:cstheme="minorHAnsi"/>
                <w:color w:val="000000"/>
                <w:szCs w:val="22"/>
                <w:lang w:val="en-US" w:eastAsia="en-US"/>
              </w:rPr>
              <w:t>Triton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-100,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7.5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Επιπλέον μαζί να παρέχεται και </w:t>
            </w:r>
            <w:r w:rsidRPr="006C4D32">
              <w:rPr>
                <w:rFonts w:asciiTheme="minorHAnsi" w:hAnsiTheme="minorHAnsi" w:cstheme="minorHAnsi"/>
                <w:color w:val="000000"/>
                <w:szCs w:val="22"/>
                <w:lang w:val="en-US" w:eastAsia="en-US"/>
              </w:rPr>
              <w:t>Gel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Loading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Dye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Purple</w:t>
            </w:r>
            <w:r w:rsidRPr="006C4D32">
              <w:rPr>
                <w:rFonts w:asciiTheme="minorHAnsi" w:hAnsiTheme="minorHAnsi" w:cstheme="minorHAnsi"/>
                <w:color w:val="000000"/>
                <w:szCs w:val="22"/>
                <w:lang w:val="el-GR" w:eastAsia="en-US"/>
              </w:rPr>
              <w:t xml:space="preserve"> (6</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Συσκευασία: 50.000 units (μονάδες ενζυμικής δράσης-ενεργότητας)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282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29</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br/>
              <w:t xml:space="preserve">Ν-γλυκοσιδάση </w:t>
            </w:r>
            <w:r w:rsidRPr="006C4D32">
              <w:rPr>
                <w:rFonts w:asciiTheme="minorHAnsi" w:hAnsiTheme="minorHAnsi" w:cstheme="minorHAnsi"/>
                <w:color w:val="000000"/>
                <w:szCs w:val="22"/>
                <w:lang w:val="en-US" w:eastAsia="en-US"/>
              </w:rPr>
              <w:t>F</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PNGase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w:t>
            </w:r>
            <w:r w:rsidRPr="006C4D32">
              <w:rPr>
                <w:rFonts w:asciiTheme="minorHAnsi" w:hAnsiTheme="minorHAnsi" w:cstheme="minorHAnsi"/>
                <w:color w:val="000000"/>
                <w:szCs w:val="22"/>
                <w:lang w:val="el-GR" w:eastAsia="en-US"/>
              </w:rPr>
              <w:t xml:space="preserve">) για  τη διάσπαση των Ν γλυκοζυτικών δεσµών σε κατάλοιπα ασπαραγίνης, να κόβει μεταξύ της </w:t>
            </w:r>
            <w:r w:rsidRPr="006C4D32">
              <w:rPr>
                <w:rFonts w:asciiTheme="minorHAnsi" w:hAnsiTheme="minorHAnsi" w:cstheme="minorHAnsi"/>
                <w:color w:val="000000"/>
                <w:szCs w:val="22"/>
                <w:lang w:val="en-US" w:eastAsia="en-US"/>
              </w:rPr>
              <w:t>GlcNAc</w:t>
            </w:r>
            <w:r w:rsidRPr="006C4D32">
              <w:rPr>
                <w:rFonts w:asciiTheme="minorHAnsi" w:hAnsiTheme="minorHAnsi" w:cstheme="minorHAnsi"/>
                <w:color w:val="000000"/>
                <w:szCs w:val="22"/>
                <w:lang w:val="el-GR" w:eastAsia="en-US"/>
              </w:rPr>
              <w:t xml:space="preserve"> και της ασπαραγίνης σε  υψηλής περιεκτικότητας σε μαννόζες ή σε υβριδικής σύνθεσης ολιγοσακχαρίτες (</w:t>
            </w:r>
            <w:r w:rsidRPr="006C4D32">
              <w:rPr>
                <w:rFonts w:asciiTheme="minorHAnsi" w:hAnsiTheme="minorHAnsi" w:cstheme="minorHAnsi"/>
                <w:color w:val="000000"/>
                <w:szCs w:val="22"/>
                <w:lang w:val="en-US" w:eastAsia="en-US"/>
              </w:rPr>
              <w:t>high</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mannose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hybrid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and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complex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oligosaccharides</w:t>
            </w:r>
            <w:r w:rsidRPr="006C4D32">
              <w:rPr>
                <w:rFonts w:asciiTheme="minorHAnsi" w:hAnsiTheme="minorHAnsi" w:cstheme="minorHAnsi"/>
                <w:color w:val="000000"/>
                <w:szCs w:val="22"/>
                <w:lang w:val="el-GR" w:eastAsia="en-US"/>
              </w:rPr>
              <w:t>) .</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H</w:t>
            </w:r>
            <w:r w:rsidRPr="006C4D32">
              <w:rPr>
                <w:rFonts w:asciiTheme="minorHAnsi" w:hAnsiTheme="minorHAnsi" w:cstheme="minorHAnsi"/>
                <w:color w:val="000000"/>
                <w:szCs w:val="22"/>
                <w:lang w:val="el-GR" w:eastAsia="en-US"/>
              </w:rPr>
              <w:t xml:space="preserve"> καθαρότητα του ενζύμου να είναι ≥95% σε ανάλυση με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PAGE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ESI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MS</w:t>
            </w:r>
            <w:r w:rsidRPr="006C4D32">
              <w:rPr>
                <w:rFonts w:asciiTheme="minorHAnsi" w:hAnsiTheme="minorHAnsi" w:cstheme="minorHAnsi"/>
                <w:color w:val="000000"/>
                <w:szCs w:val="22"/>
                <w:lang w:val="el-GR" w:eastAsia="en-US"/>
              </w:rPr>
              <w:t>, χωρίς πρωτεάσες και χωρίς ανιχνεύσιμη δράση ενδογλυκοσιδάσης (</w:t>
            </w:r>
            <w:r w:rsidRPr="006C4D32">
              <w:rPr>
                <w:rFonts w:asciiTheme="minorHAnsi" w:hAnsiTheme="minorHAnsi" w:cstheme="minorHAnsi"/>
                <w:color w:val="000000"/>
                <w:szCs w:val="22"/>
                <w:lang w:val="en-US" w:eastAsia="en-US"/>
              </w:rPr>
              <w:t>EndoF</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l-GR" w:eastAsia="en-US"/>
              </w:rPr>
              <w:br/>
              <w:t xml:space="preserve">Να παρέχεται σε διάλυμα που περιέχει  50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NaCl</w:t>
            </w:r>
            <w:r w:rsidRPr="006C4D32">
              <w:rPr>
                <w:rFonts w:asciiTheme="minorHAnsi" w:hAnsiTheme="minorHAnsi" w:cstheme="minorHAnsi"/>
                <w:color w:val="000000"/>
                <w:szCs w:val="22"/>
                <w:lang w:val="el-GR" w:eastAsia="en-US"/>
              </w:rPr>
              <w:t xml:space="preserve">, 20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Tris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HCl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7.5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5 </w:t>
            </w:r>
            <w:r w:rsidRPr="006C4D32">
              <w:rPr>
                <w:rFonts w:asciiTheme="minorHAnsi" w:hAnsiTheme="minorHAnsi" w:cstheme="minorHAnsi"/>
                <w:color w:val="000000"/>
                <w:szCs w:val="22"/>
                <w:lang w:val="en-US" w:eastAsia="en-US"/>
              </w:rPr>
              <w:t>mM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Na</w:t>
            </w:r>
            <w:r w:rsidRPr="006C4D32">
              <w:rPr>
                <w:rFonts w:asciiTheme="minorHAnsi" w:hAnsiTheme="minorHAnsi" w:cstheme="minorHAnsi"/>
                <w:color w:val="000000"/>
                <w:szCs w:val="22"/>
                <w:lang w:val="el-GR" w:eastAsia="en-US"/>
              </w:rPr>
              <w:t>2</w:t>
            </w:r>
            <w:r w:rsidRPr="006C4D32">
              <w:rPr>
                <w:rFonts w:asciiTheme="minorHAnsi" w:hAnsiTheme="minorHAnsi" w:cstheme="minorHAnsi"/>
                <w:color w:val="000000"/>
                <w:szCs w:val="22"/>
                <w:lang w:val="en-US" w:eastAsia="en-US"/>
              </w:rPr>
              <w:t>EDTA</w:t>
            </w:r>
            <w:r w:rsidRPr="006C4D32">
              <w:rPr>
                <w:rFonts w:asciiTheme="minorHAnsi" w:hAnsiTheme="minorHAnsi" w:cstheme="minorHAnsi"/>
                <w:color w:val="000000"/>
                <w:szCs w:val="22"/>
                <w:lang w:val="el-GR" w:eastAsia="en-US"/>
              </w:rPr>
              <w:t xml:space="preserve">, 50% </w:t>
            </w:r>
            <w:r w:rsidRPr="006C4D32">
              <w:rPr>
                <w:rFonts w:asciiTheme="minorHAnsi" w:hAnsiTheme="minorHAnsi" w:cstheme="minorHAnsi"/>
                <w:color w:val="000000"/>
                <w:szCs w:val="22"/>
                <w:lang w:val="en-US" w:eastAsia="en-US"/>
              </w:rPr>
              <w:t>glycerol</w:t>
            </w:r>
            <w:r w:rsidRPr="006C4D32">
              <w:rPr>
                <w:rFonts w:asciiTheme="minorHAnsi" w:hAnsiTheme="minorHAnsi" w:cstheme="minorHAnsi"/>
                <w:color w:val="000000"/>
                <w:szCs w:val="22"/>
                <w:lang w:val="el-GR" w:eastAsia="en-US"/>
              </w:rPr>
              <w:t xml:space="preserve">.  Η  ενεργότητα του ενζύμου να παραμένει σταθερή  για χρονικό διάστημα  24 μηνών. </w:t>
            </w:r>
            <w:r w:rsidRPr="006C4D32">
              <w:rPr>
                <w:rFonts w:asciiTheme="minorHAnsi" w:hAnsiTheme="minorHAnsi" w:cstheme="minorHAnsi"/>
                <w:color w:val="000000"/>
                <w:szCs w:val="22"/>
                <w:lang w:val="el-GR" w:eastAsia="en-US"/>
              </w:rPr>
              <w:br/>
              <w:t>Με το ένζυμο να παρέχεται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αποδιάταξης γλυκοπρωτεϊνών με σύσταση 5%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 xml:space="preserve">, 0.4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DTT</w:t>
            </w:r>
            <w:r w:rsidRPr="006C4D32">
              <w:rPr>
                <w:rFonts w:asciiTheme="minorHAnsi" w:hAnsiTheme="minorHAnsi" w:cstheme="minorHAnsi"/>
                <w:color w:val="000000"/>
                <w:szCs w:val="22"/>
                <w:lang w:val="el-GR" w:eastAsia="en-US"/>
              </w:rPr>
              <w:t>,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αντίδρασης  με σύσταση  0.5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Sodium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Phosphate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7.5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xml:space="preserve">)  καθώς και 10% </w:t>
            </w:r>
            <w:r w:rsidRPr="006C4D32">
              <w:rPr>
                <w:rFonts w:asciiTheme="minorHAnsi" w:hAnsiTheme="minorHAnsi" w:cstheme="minorHAnsi"/>
                <w:color w:val="000000"/>
                <w:szCs w:val="22"/>
                <w:lang w:val="en-US" w:eastAsia="en-US"/>
              </w:rPr>
              <w:t>NP</w:t>
            </w:r>
            <w:r w:rsidRPr="006C4D32">
              <w:rPr>
                <w:rFonts w:asciiTheme="minorHAnsi" w:hAnsiTheme="minorHAnsi" w:cstheme="minorHAnsi"/>
                <w:color w:val="000000"/>
                <w:szCs w:val="22"/>
                <w:lang w:val="el-GR" w:eastAsia="en-US"/>
              </w:rPr>
              <w:t>-40.</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Συγκέντρωση ενζύμου 500.000 units/ml  παρεχόμενο σε συσκευασία των 75.000 units</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25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lastRenderedPageBreak/>
              <w:t>30</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br w:type="page"/>
              <w:t>Ανασυνδυασμένη ενδογλυκοσιδάση Η (</w:t>
            </w:r>
            <w:r w:rsidRPr="006C4D32">
              <w:rPr>
                <w:rFonts w:asciiTheme="minorHAnsi" w:hAnsiTheme="minorHAnsi" w:cstheme="minorHAnsi"/>
                <w:color w:val="000000"/>
                <w:szCs w:val="22"/>
                <w:lang w:val="en-US" w:eastAsia="en-US"/>
              </w:rPr>
              <w:t>EndoH</w:t>
            </w:r>
            <w:r w:rsidRPr="006C4D32">
              <w:rPr>
                <w:rFonts w:asciiTheme="minorHAnsi" w:hAnsiTheme="minorHAnsi" w:cstheme="minorHAnsi"/>
                <w:color w:val="000000"/>
                <w:szCs w:val="22"/>
                <w:lang w:val="el-GR" w:eastAsia="en-US"/>
              </w:rPr>
              <w:t>)  η οποία "κόβει" εντός του πυρήνα χιτοβιόζης  υψηλού περιεχομένου σε μαννόζες καθώς και σε μερικούς υβριδικούς ολιγοσακχαρίτες προσδεμένους με Ν δεσμό στις γλυκοπρωτεΐνες.</w:t>
            </w:r>
            <w:r w:rsidRPr="006C4D32">
              <w:rPr>
                <w:rFonts w:asciiTheme="minorHAnsi" w:hAnsiTheme="minorHAnsi" w:cstheme="minorHAnsi"/>
                <w:color w:val="000000"/>
                <w:szCs w:val="22"/>
                <w:lang w:val="el-GR" w:eastAsia="en-US"/>
              </w:rPr>
              <w:br w:type="page"/>
              <w:t xml:space="preserve">Το ένζυμο </w:t>
            </w:r>
            <w:r w:rsidRPr="006C4D32">
              <w:rPr>
                <w:rFonts w:asciiTheme="minorHAnsi" w:hAnsiTheme="minorHAnsi" w:cstheme="minorHAnsi"/>
                <w:color w:val="000000"/>
                <w:szCs w:val="22"/>
                <w:lang w:val="en-US" w:eastAsia="en-US"/>
              </w:rPr>
              <w:t>EndoH</w:t>
            </w:r>
            <w:r w:rsidRPr="006C4D32">
              <w:rPr>
                <w:rFonts w:asciiTheme="minorHAnsi" w:hAnsiTheme="minorHAnsi" w:cstheme="minorHAnsi"/>
                <w:color w:val="000000"/>
                <w:szCs w:val="22"/>
                <w:lang w:val="el-GR" w:eastAsia="en-US"/>
              </w:rPr>
              <w:t xml:space="preserve"> να είναι υψηλής καθαρότητας  ≥95% (σε ανάλυση με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PAGE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ESI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MS</w:t>
            </w:r>
            <w:r w:rsidRPr="006C4D32">
              <w:rPr>
                <w:rFonts w:asciiTheme="minorHAnsi" w:hAnsiTheme="minorHAnsi" w:cstheme="minorHAnsi"/>
                <w:color w:val="000000"/>
                <w:szCs w:val="22"/>
                <w:lang w:val="el-GR" w:eastAsia="en-US"/>
              </w:rPr>
              <w:t xml:space="preserve">) και χωρίς ανιχνεύσιμη δράση εξωγλυκοσιδάσης ή άλλης ενδογλυκοσιδάσης. Να είναι απαλλαγμένο από γλυκερόλη για βέλτιστη απόδοση σε αναλύσεις με </w:t>
            </w:r>
            <w:r w:rsidRPr="006C4D32">
              <w:rPr>
                <w:rFonts w:asciiTheme="minorHAnsi" w:hAnsiTheme="minorHAnsi" w:cstheme="minorHAnsi"/>
                <w:color w:val="000000"/>
                <w:szCs w:val="22"/>
                <w:lang w:val="en-US" w:eastAsia="en-US"/>
              </w:rPr>
              <w:t>FPLC</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l-GR" w:eastAsia="en-US"/>
              </w:rPr>
              <w:br w:type="page"/>
              <w:t xml:space="preserve">Η ενεργότητά του ενζύμου να παραμένει σταθερή  για χρονικό διάστημα  24 μηνών. </w:t>
            </w:r>
            <w:r w:rsidRPr="006C4D32">
              <w:rPr>
                <w:rFonts w:asciiTheme="minorHAnsi" w:hAnsiTheme="minorHAnsi" w:cstheme="minorHAnsi"/>
                <w:color w:val="000000"/>
                <w:szCs w:val="22"/>
                <w:lang w:val="el-GR" w:eastAsia="en-US"/>
              </w:rPr>
              <w:br w:type="page"/>
              <w:t>Με το ένζυμο να παρέχεται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αποδιάταξης γλυκοπρωτεϊνών με σύσταση 5%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 xml:space="preserve">, 0.4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DTT</w:t>
            </w:r>
            <w:r w:rsidRPr="006C4D32">
              <w:rPr>
                <w:rFonts w:asciiTheme="minorHAnsi" w:hAnsiTheme="minorHAnsi" w:cstheme="minorHAnsi"/>
                <w:color w:val="000000"/>
                <w:szCs w:val="22"/>
                <w:lang w:val="el-GR" w:eastAsia="en-US"/>
              </w:rPr>
              <w:t xml:space="preserve">  καθώς  και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αντίδρασης με σύσταση 0.5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Sodium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Acetate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6.0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type="page"/>
            </w:r>
            <w:r w:rsidRPr="006C4D32">
              <w:rPr>
                <w:rFonts w:asciiTheme="minorHAnsi" w:hAnsiTheme="minorHAnsi" w:cstheme="minorHAnsi"/>
                <w:color w:val="000000"/>
                <w:szCs w:val="22"/>
                <w:lang w:val="en-US" w:eastAsia="en-US"/>
              </w:rPr>
              <w:t xml:space="preserve">Συγκέντρωση  ενζύμου 500,000 units/ml παρεχόμενο  σε συσκευασία των  50.000  units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84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31</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br/>
              <w:t>Ανασυνδυασμένη ενδογλυκοσιδάση Η (</w:t>
            </w:r>
            <w:r w:rsidRPr="006C4D32">
              <w:rPr>
                <w:rFonts w:asciiTheme="minorHAnsi" w:hAnsiTheme="minorHAnsi" w:cstheme="minorHAnsi"/>
                <w:color w:val="000000"/>
                <w:szCs w:val="22"/>
                <w:lang w:val="en-US" w:eastAsia="en-US"/>
              </w:rPr>
              <w:t>EndoH</w:t>
            </w:r>
            <w:r w:rsidRPr="006C4D32">
              <w:rPr>
                <w:rFonts w:asciiTheme="minorHAnsi" w:hAnsiTheme="minorHAnsi" w:cstheme="minorHAnsi"/>
                <w:color w:val="000000"/>
                <w:szCs w:val="22"/>
                <w:lang w:val="el-GR" w:eastAsia="en-US"/>
              </w:rPr>
              <w:t>) συντηγμένη με πρωτεΐνη δέσμευσης της μαλτόζης (</w:t>
            </w:r>
            <w:r w:rsidRPr="006C4D32">
              <w:rPr>
                <w:rFonts w:asciiTheme="minorHAnsi" w:hAnsiTheme="minorHAnsi" w:cstheme="minorHAnsi"/>
                <w:color w:val="000000"/>
                <w:szCs w:val="22"/>
                <w:lang w:val="en-US" w:eastAsia="en-US"/>
              </w:rPr>
              <w:t>MBP</w:t>
            </w:r>
            <w:r w:rsidRPr="006C4D32">
              <w:rPr>
                <w:rFonts w:asciiTheme="minorHAnsi" w:hAnsiTheme="minorHAnsi" w:cstheme="minorHAnsi"/>
                <w:color w:val="000000"/>
                <w:szCs w:val="22"/>
                <w:lang w:val="el-GR" w:eastAsia="en-US"/>
              </w:rPr>
              <w:t>), η οποία "κόβει" εντός του πυρήνα χιτοβιόζης  υψηλού περιεχομένου σε μαννόζες καθώς και σε μερικούς υβριδικούς ολιγοσακχαρίτες προσδεμένους με Ν δεσμό στις γλυκοπρωτεΐνες.</w:t>
            </w:r>
            <w:r w:rsidRPr="006C4D32">
              <w:rPr>
                <w:rFonts w:asciiTheme="minorHAnsi" w:hAnsiTheme="minorHAnsi" w:cstheme="minorHAnsi"/>
                <w:color w:val="000000"/>
                <w:szCs w:val="22"/>
                <w:lang w:val="el-GR" w:eastAsia="en-US"/>
              </w:rPr>
              <w:br/>
              <w:t xml:space="preserve">Το ένζυμο </w:t>
            </w:r>
            <w:r w:rsidRPr="006C4D32">
              <w:rPr>
                <w:rFonts w:asciiTheme="minorHAnsi" w:hAnsiTheme="minorHAnsi" w:cstheme="minorHAnsi"/>
                <w:color w:val="000000"/>
                <w:szCs w:val="22"/>
                <w:lang w:val="en-US" w:eastAsia="en-US"/>
              </w:rPr>
              <w:t>EndoHf</w:t>
            </w:r>
            <w:r w:rsidRPr="006C4D32">
              <w:rPr>
                <w:rFonts w:asciiTheme="minorHAnsi" w:hAnsiTheme="minorHAnsi" w:cstheme="minorHAnsi"/>
                <w:color w:val="000000"/>
                <w:szCs w:val="22"/>
                <w:lang w:val="el-GR" w:eastAsia="en-US"/>
              </w:rPr>
              <w:t xml:space="preserve"> να είναι υψηλής καθαρότητας  ≥95% (σε ανάλυση με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PAGE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ESI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MS</w:t>
            </w:r>
            <w:r w:rsidRPr="006C4D32">
              <w:rPr>
                <w:rFonts w:asciiTheme="minorHAnsi" w:hAnsiTheme="minorHAnsi" w:cstheme="minorHAnsi"/>
                <w:color w:val="000000"/>
                <w:szCs w:val="22"/>
                <w:lang w:val="el-GR" w:eastAsia="en-US"/>
              </w:rPr>
              <w:t xml:space="preserve">) και χωρίς ανιχνεύσιμη δράση εξωγλυκοσιδάσης ή άλλης ενδογλυκοσιδάσης. Να είναι απαλλαγμένο από γλυκερόλη για βέλτιστη απόδοση σε αναλύσεις με </w:t>
            </w:r>
            <w:r w:rsidRPr="006C4D32">
              <w:rPr>
                <w:rFonts w:asciiTheme="minorHAnsi" w:hAnsiTheme="minorHAnsi" w:cstheme="minorHAnsi"/>
                <w:color w:val="000000"/>
                <w:szCs w:val="22"/>
                <w:lang w:val="en-US" w:eastAsia="en-US"/>
              </w:rPr>
              <w:t>FPLC</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l-GR" w:eastAsia="en-US"/>
              </w:rPr>
              <w:br/>
              <w:t xml:space="preserve">Η ενεργότητά του ενζύμου να παραμένει σταθερή  για χρονικό διάστημα  24 μηνών. </w:t>
            </w:r>
            <w:r w:rsidRPr="006C4D32">
              <w:rPr>
                <w:rFonts w:asciiTheme="minorHAnsi" w:hAnsiTheme="minorHAnsi" w:cstheme="minorHAnsi"/>
                <w:color w:val="000000"/>
                <w:szCs w:val="22"/>
                <w:lang w:val="el-GR" w:eastAsia="en-US"/>
              </w:rPr>
              <w:br/>
              <w:t>Με το ένζυμο να παρέχεται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αποδιάταξης γλυκοπρωτεϊνών με σύσταση 5%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 xml:space="preserve">, 0.4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DTT</w:t>
            </w:r>
            <w:r w:rsidRPr="006C4D32">
              <w:rPr>
                <w:rFonts w:asciiTheme="minorHAnsi" w:hAnsiTheme="minorHAnsi" w:cstheme="minorHAnsi"/>
                <w:color w:val="000000"/>
                <w:szCs w:val="22"/>
                <w:lang w:val="el-GR" w:eastAsia="en-US"/>
              </w:rPr>
              <w:t xml:space="preserve"> καθώς  και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αντίδρασης  με σύσταση 0.5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Sodium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Acetate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6.0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l-GR" w:eastAsia="en-US"/>
              </w:rPr>
              <w:br/>
            </w:r>
            <w:r w:rsidRPr="006C4D32">
              <w:rPr>
                <w:rFonts w:asciiTheme="minorHAnsi" w:hAnsiTheme="minorHAnsi" w:cstheme="minorHAnsi"/>
                <w:color w:val="000000"/>
                <w:szCs w:val="22"/>
                <w:lang w:val="en-US" w:eastAsia="en-US"/>
              </w:rPr>
              <w:t xml:space="preserve">Συγκέντρωση  ενζύμου 1.000.000 units/ml παρεχόμενο  σε συσκευασία των  500.000 units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52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32</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n-US" w:eastAsia="en-US"/>
              </w:rPr>
              <w:t xml:space="preserve">Ανασυνδυασμένη πρωτεάση (TEV  cysteine protease)  υψηλής ειδικότητας ώστε να αναγνωρίζει την αμινοξική αλληλουχία Glu-Asn-Leu-Tyr-Phe-Gln-(Gly/Ser) and να κόβει μεταξύ των αμινοξικών καταλοίπων Gln και Gly/Ser. </w:t>
            </w:r>
            <w:r w:rsidRPr="006C4D32">
              <w:rPr>
                <w:rFonts w:asciiTheme="minorHAnsi" w:hAnsiTheme="minorHAnsi" w:cstheme="minorHAnsi"/>
                <w:color w:val="000000"/>
                <w:szCs w:val="22"/>
                <w:lang w:val="el-GR" w:eastAsia="en-US"/>
              </w:rPr>
              <w:t xml:space="preserve">Κατάλληλη για την απομάκρυνση της </w:t>
            </w:r>
            <w:r w:rsidRPr="006C4D32">
              <w:rPr>
                <w:rFonts w:asciiTheme="minorHAnsi" w:hAnsiTheme="minorHAnsi" w:cstheme="minorHAnsi"/>
                <w:color w:val="000000"/>
                <w:szCs w:val="22"/>
                <w:lang w:val="en-US" w:eastAsia="en-US"/>
              </w:rPr>
              <w:t>maltose</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binding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protein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MBP</w:t>
            </w:r>
            <w:r w:rsidRPr="006C4D32">
              <w:rPr>
                <w:rFonts w:asciiTheme="minorHAnsi" w:hAnsiTheme="minorHAnsi" w:cstheme="minorHAnsi"/>
                <w:color w:val="000000"/>
                <w:szCs w:val="22"/>
                <w:lang w:val="el-GR" w:eastAsia="en-US"/>
              </w:rPr>
              <w:t xml:space="preserve">) ή των πολυ-ιστιδινών από συντηγμένες πρωτεϊνες. Η ενεργότητα του ενζύμου να παραμένει σταθερή  για χρονικό διάστημα  24 μηνών. Να είναι λειτουργική σε ένα ευρύ φάσμα διαλυμάτων, με βέλτιστη δράση σε εύρος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από 6.0 έως 9.0. Να φέρει 7</w:t>
            </w:r>
            <w:r w:rsidRPr="006C4D32">
              <w:rPr>
                <w:rFonts w:asciiTheme="minorHAnsi" w:hAnsiTheme="minorHAnsi" w:cstheme="minorHAnsi"/>
                <w:color w:val="000000"/>
                <w:szCs w:val="22"/>
                <w:lang w:val="en-US" w:eastAsia="en-US"/>
              </w:rPr>
              <w:t>xHis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tag</w:t>
            </w:r>
            <w:r w:rsidRPr="006C4D32">
              <w:rPr>
                <w:rFonts w:asciiTheme="minorHAnsi" w:hAnsiTheme="minorHAnsi" w:cstheme="minorHAnsi"/>
                <w:color w:val="000000"/>
                <w:szCs w:val="22"/>
                <w:lang w:val="el-GR" w:eastAsia="en-US"/>
              </w:rPr>
              <w:t xml:space="preserve"> για εύκολη απομάκρυνσή της στο πέρας της αντίδρασης με χρωματογραφία συγγένειας (</w:t>
            </w:r>
            <w:r w:rsidRPr="006C4D32">
              <w:rPr>
                <w:rFonts w:asciiTheme="minorHAnsi" w:hAnsiTheme="minorHAnsi" w:cstheme="minorHAnsi"/>
                <w:color w:val="000000"/>
                <w:szCs w:val="22"/>
                <w:lang w:val="en-US" w:eastAsia="en-US"/>
              </w:rPr>
              <w:t>nickel</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affinity</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resin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 xml:space="preserve">Συγκέντρωση  ενζύμου 10.000 units/ml παρεχόμενο  σε συσκευασία των  1.000  units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n-US"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n-US"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n-US" w:eastAsia="en-US"/>
              </w:rPr>
            </w:pPr>
          </w:p>
        </w:tc>
      </w:tr>
      <w:tr w:rsidR="005721C3" w:rsidRPr="006C4D32" w:rsidTr="00B8048C">
        <w:trPr>
          <w:trHeight w:val="1703"/>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33</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Ανασυνδυασμένη ενδογλυκοσιδάση </w:t>
            </w:r>
            <w:r w:rsidRPr="006C4D32">
              <w:rPr>
                <w:rFonts w:asciiTheme="minorHAnsi" w:hAnsiTheme="minorHAnsi" w:cstheme="minorHAnsi"/>
                <w:color w:val="000000"/>
                <w:szCs w:val="22"/>
                <w:lang w:val="en-US" w:eastAsia="en-US"/>
              </w:rPr>
              <w:t>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Endo</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w:t>
            </w:r>
            <w:r w:rsidRPr="006C4D32">
              <w:rPr>
                <w:rFonts w:asciiTheme="minorHAnsi" w:hAnsiTheme="minorHAnsi" w:cstheme="minorHAnsi"/>
                <w:color w:val="000000"/>
                <w:szCs w:val="22"/>
                <w:lang w:val="el-GR" w:eastAsia="en-US"/>
              </w:rPr>
              <w:t xml:space="preserve">)  η οποία "κόβει" εντός του πυρήνα χιτοβιόζης των  </w:t>
            </w:r>
            <w:r w:rsidRPr="006C4D32">
              <w:rPr>
                <w:rFonts w:asciiTheme="minorHAnsi" w:hAnsiTheme="minorHAnsi" w:cstheme="minorHAnsi"/>
                <w:color w:val="000000"/>
                <w:szCs w:val="22"/>
                <w:lang w:val="en-US" w:eastAsia="en-US"/>
              </w:rPr>
              <w:t>paucimannose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N</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linked</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glycans</w:t>
            </w:r>
            <w:r w:rsidRPr="006C4D32">
              <w:rPr>
                <w:rFonts w:asciiTheme="minorHAnsi" w:hAnsiTheme="minorHAnsi" w:cstheme="minorHAnsi"/>
                <w:color w:val="000000"/>
                <w:szCs w:val="22"/>
                <w:lang w:val="el-GR" w:eastAsia="en-US"/>
              </w:rPr>
              <w:t xml:space="preserve">. Το ένζυμο </w:t>
            </w:r>
            <w:r w:rsidRPr="006C4D32">
              <w:rPr>
                <w:rFonts w:asciiTheme="minorHAnsi" w:hAnsiTheme="minorHAnsi" w:cstheme="minorHAnsi"/>
                <w:color w:val="000000"/>
                <w:szCs w:val="22"/>
                <w:lang w:val="en-US" w:eastAsia="en-US"/>
              </w:rPr>
              <w:t>EndoD</w:t>
            </w:r>
            <w:r w:rsidRPr="006C4D32">
              <w:rPr>
                <w:rFonts w:asciiTheme="minorHAnsi" w:hAnsiTheme="minorHAnsi" w:cstheme="minorHAnsi"/>
                <w:color w:val="000000"/>
                <w:szCs w:val="22"/>
                <w:lang w:val="el-GR" w:eastAsia="en-US"/>
              </w:rPr>
              <w:t xml:space="preserve"> να είναι υψηλής καθαρότητας  ≥95% (σε ανάλυση με </w:t>
            </w:r>
            <w:r w:rsidRPr="006C4D32">
              <w:rPr>
                <w:rFonts w:asciiTheme="minorHAnsi" w:hAnsiTheme="minorHAnsi" w:cstheme="minorHAnsi"/>
                <w:color w:val="000000"/>
                <w:szCs w:val="22"/>
                <w:lang w:val="en-US" w:eastAsia="en-US"/>
              </w:rPr>
              <w:t>SDS</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PAGE</w:t>
            </w:r>
            <w:r w:rsidRPr="006C4D32">
              <w:rPr>
                <w:rFonts w:asciiTheme="minorHAnsi" w:hAnsiTheme="minorHAnsi" w:cstheme="minorHAnsi"/>
                <w:color w:val="000000"/>
                <w:szCs w:val="22"/>
                <w:lang w:val="el-GR" w:eastAsia="en-US"/>
              </w:rPr>
              <w:t xml:space="preserve"> και </w:t>
            </w:r>
            <w:r w:rsidRPr="006C4D32">
              <w:rPr>
                <w:rFonts w:asciiTheme="minorHAnsi" w:hAnsiTheme="minorHAnsi" w:cstheme="minorHAnsi"/>
                <w:color w:val="000000"/>
                <w:szCs w:val="22"/>
                <w:lang w:val="en-US" w:eastAsia="en-US"/>
              </w:rPr>
              <w:t>ESI</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MS</w:t>
            </w:r>
            <w:r w:rsidRPr="006C4D32">
              <w:rPr>
                <w:rFonts w:asciiTheme="minorHAnsi" w:hAnsiTheme="minorHAnsi" w:cstheme="minorHAnsi"/>
                <w:color w:val="000000"/>
                <w:szCs w:val="22"/>
                <w:lang w:val="el-GR" w:eastAsia="en-US"/>
              </w:rPr>
              <w:t xml:space="preserve">) και χωρίς ανιχνεύσιμη δράση εξωγλυκοσιδάσης ή άλλης ενδογλυκοσιδάσης. Να είναι απαλλαγμένο από γλυκερόλη για βέλτιστη απόδοση σε αναλύσεις με </w:t>
            </w:r>
            <w:r w:rsidRPr="006C4D32">
              <w:rPr>
                <w:rFonts w:asciiTheme="minorHAnsi" w:hAnsiTheme="minorHAnsi" w:cstheme="minorHAnsi"/>
                <w:color w:val="000000"/>
                <w:szCs w:val="22"/>
                <w:lang w:val="en-US" w:eastAsia="en-US"/>
              </w:rPr>
              <w:t>FPLC</w:t>
            </w:r>
            <w:r w:rsidRPr="006C4D32">
              <w:rPr>
                <w:rFonts w:asciiTheme="minorHAnsi" w:hAnsiTheme="minorHAnsi" w:cstheme="minorHAnsi"/>
                <w:color w:val="000000"/>
                <w:szCs w:val="22"/>
                <w:lang w:val="el-GR" w:eastAsia="en-US"/>
              </w:rPr>
              <w:t xml:space="preserve"> ή φασματομετρία μάζας. </w:t>
            </w:r>
            <w:r w:rsidRPr="006C4D32">
              <w:rPr>
                <w:rFonts w:asciiTheme="minorHAnsi" w:hAnsiTheme="minorHAnsi" w:cstheme="minorHAnsi"/>
                <w:color w:val="000000"/>
                <w:szCs w:val="22"/>
                <w:lang w:val="el-GR" w:eastAsia="en-US"/>
              </w:rPr>
              <w:br/>
              <w:t xml:space="preserve">Η ενεργότητά του ενζύμου να παραμένει σταθερή  για χρονικό διάστημα  12 μηνών. Να φέρει </w:t>
            </w:r>
            <w:r w:rsidRPr="006C4D32">
              <w:rPr>
                <w:rFonts w:asciiTheme="minorHAnsi" w:hAnsiTheme="minorHAnsi" w:cstheme="minorHAnsi"/>
                <w:color w:val="000000"/>
                <w:szCs w:val="22"/>
                <w:lang w:val="en-US" w:eastAsia="en-US"/>
              </w:rPr>
              <w:t>chitin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binding</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domain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CBD</w:t>
            </w:r>
            <w:r w:rsidRPr="006C4D32">
              <w:rPr>
                <w:rFonts w:asciiTheme="minorHAnsi" w:hAnsiTheme="minorHAnsi" w:cstheme="minorHAnsi"/>
                <w:color w:val="000000"/>
                <w:szCs w:val="22"/>
                <w:lang w:val="el-GR" w:eastAsia="en-US"/>
              </w:rPr>
              <w:t xml:space="preserve">) για εύκολη απομάκρυνση της στο πέρας της αντίδρασης με χρήση </w:t>
            </w:r>
            <w:r w:rsidRPr="006C4D32">
              <w:rPr>
                <w:rFonts w:asciiTheme="minorHAnsi" w:hAnsiTheme="minorHAnsi" w:cstheme="minorHAnsi"/>
                <w:color w:val="000000"/>
                <w:szCs w:val="22"/>
                <w:lang w:val="en-US" w:eastAsia="en-US"/>
              </w:rPr>
              <w:t>Chitin</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Magnetic</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Beads</w:t>
            </w:r>
            <w:r w:rsidRPr="006C4D32">
              <w:rPr>
                <w:rFonts w:asciiTheme="minorHAnsi" w:hAnsiTheme="minorHAnsi" w:cstheme="minorHAnsi"/>
                <w:color w:val="000000"/>
                <w:szCs w:val="22"/>
                <w:lang w:val="el-GR" w:eastAsia="en-US"/>
              </w:rPr>
              <w:t>. Με το ένζυμο να παρέχεται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διάλυμα αντίδρασης  με σύσταση 0.5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Sodium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Phosphate</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pH</w:t>
            </w:r>
            <w:r w:rsidRPr="006C4D32">
              <w:rPr>
                <w:rFonts w:asciiTheme="minorHAnsi" w:hAnsiTheme="minorHAnsi" w:cstheme="minorHAnsi"/>
                <w:color w:val="000000"/>
                <w:szCs w:val="22"/>
                <w:lang w:val="el-GR" w:eastAsia="en-US"/>
              </w:rPr>
              <w:t xml:space="preserve"> 7.5 @ 25°</w:t>
            </w:r>
            <w:r w:rsidRPr="006C4D32">
              <w:rPr>
                <w:rFonts w:asciiTheme="minorHAnsi" w:hAnsiTheme="minorHAnsi" w:cstheme="minorHAnsi"/>
                <w:color w:val="000000"/>
                <w:szCs w:val="22"/>
                <w:lang w:val="en-US" w:eastAsia="en-US"/>
              </w:rPr>
              <w:t>C</w:t>
            </w:r>
            <w:r w:rsidRPr="006C4D32">
              <w:rPr>
                <w:rFonts w:asciiTheme="minorHAnsi" w:hAnsiTheme="minorHAnsi" w:cstheme="minorHAnsi"/>
                <w:color w:val="000000"/>
                <w:szCs w:val="22"/>
                <w:lang w:val="el-GR" w:eastAsia="en-US"/>
              </w:rPr>
              <w:t>) και 10</w:t>
            </w:r>
            <w:r w:rsidRPr="006C4D32">
              <w:rPr>
                <w:rFonts w:asciiTheme="minorHAnsi" w:hAnsiTheme="minorHAnsi" w:cstheme="minorHAnsi"/>
                <w:color w:val="000000"/>
                <w:szCs w:val="22"/>
                <w:lang w:val="en-US" w:eastAsia="en-US"/>
              </w:rPr>
              <w:t>X</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DTT</w:t>
            </w:r>
            <w:r w:rsidRPr="006C4D32">
              <w:rPr>
                <w:rFonts w:asciiTheme="minorHAnsi" w:hAnsiTheme="minorHAnsi" w:cstheme="minorHAnsi"/>
                <w:color w:val="000000"/>
                <w:szCs w:val="22"/>
                <w:lang w:val="el-GR" w:eastAsia="en-US"/>
              </w:rPr>
              <w:t xml:space="preserve"> (0.4 </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DTT</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 xml:space="preserve">Συγκέντρωση  ενζύμου 50.000 U/ml παρεχόμενο  σε συσκευασία των 1.500 units  </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6C4D32" w:rsidTr="00B8048C">
        <w:trPr>
          <w:trHeight w:val="1290"/>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34</w:t>
            </w:r>
          </w:p>
        </w:tc>
        <w:tc>
          <w:tcPr>
            <w:tcW w:w="2373" w:type="pct"/>
            <w:shd w:val="clear" w:color="auto" w:fill="auto"/>
            <w:vAlign w:val="bottom"/>
            <w:hideMark/>
          </w:tcPr>
          <w:p w:rsidR="005721C3" w:rsidRPr="006C4D32" w:rsidRDefault="005721C3" w:rsidP="00B8048C">
            <w:pPr>
              <w:suppressAutoHyphens w:val="0"/>
              <w:rPr>
                <w:rFonts w:asciiTheme="minorHAnsi" w:hAnsiTheme="minorHAnsi" w:cstheme="minorHAnsi"/>
                <w:color w:val="000000"/>
                <w:szCs w:val="22"/>
                <w:lang w:val="en-US" w:eastAsia="en-US"/>
              </w:rPr>
            </w:pPr>
            <w:r w:rsidRPr="006C4D32">
              <w:rPr>
                <w:rFonts w:asciiTheme="minorHAnsi" w:hAnsiTheme="minorHAnsi" w:cstheme="minorHAnsi"/>
                <w:color w:val="000000"/>
                <w:szCs w:val="22"/>
                <w:lang w:val="el-GR" w:eastAsia="en-US"/>
              </w:rPr>
              <w:t xml:space="preserve">Να διατίθεται σε 50% υδατικό διάλυμα το οποίο να περιέχει 30% αιθανόλη. Το μέγεθος των </w:t>
            </w:r>
            <w:r w:rsidRPr="006C4D32">
              <w:rPr>
                <w:rFonts w:asciiTheme="minorHAnsi" w:hAnsiTheme="minorHAnsi" w:cstheme="minorHAnsi"/>
                <w:color w:val="000000"/>
                <w:szCs w:val="22"/>
                <w:lang w:val="en-US" w:eastAsia="en-US"/>
              </w:rPr>
              <w:t>beads</w:t>
            </w:r>
            <w:r w:rsidRPr="006C4D32">
              <w:rPr>
                <w:rFonts w:asciiTheme="minorHAnsi" w:hAnsiTheme="minorHAnsi" w:cstheme="minorHAnsi"/>
                <w:color w:val="000000"/>
                <w:szCs w:val="22"/>
                <w:lang w:val="el-GR" w:eastAsia="en-US"/>
              </w:rPr>
              <w:t xml:space="preserve"> να είναι 45-165 μ</w:t>
            </w:r>
            <w:r w:rsidRPr="006C4D32">
              <w:rPr>
                <w:rFonts w:asciiTheme="minorHAnsi" w:hAnsiTheme="minorHAnsi" w:cstheme="minorHAnsi"/>
                <w:color w:val="000000"/>
                <w:szCs w:val="22"/>
                <w:lang w:val="en-US" w:eastAsia="en-US"/>
              </w:rPr>
              <w:t>m</w:t>
            </w:r>
            <w:r w:rsidRPr="006C4D32">
              <w:rPr>
                <w:rFonts w:asciiTheme="minorHAnsi" w:hAnsiTheme="minorHAnsi" w:cstheme="minorHAnsi"/>
                <w:color w:val="000000"/>
                <w:szCs w:val="22"/>
                <w:lang w:val="el-GR" w:eastAsia="en-US"/>
              </w:rPr>
              <w:t xml:space="preserve">. Η ικανότητα δέσμευσης της πρωτείνης να είναι εως και 50 </w:t>
            </w:r>
            <w:r w:rsidRPr="006C4D32">
              <w:rPr>
                <w:rFonts w:asciiTheme="minorHAnsi" w:hAnsiTheme="minorHAnsi" w:cstheme="minorHAnsi"/>
                <w:color w:val="000000"/>
                <w:szCs w:val="22"/>
                <w:lang w:val="en-US" w:eastAsia="en-US"/>
              </w:rPr>
              <w:t>mg</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ml</w:t>
            </w:r>
            <w:r w:rsidRPr="006C4D32">
              <w:rPr>
                <w:rFonts w:asciiTheme="minorHAnsi" w:hAnsiTheme="minorHAnsi" w:cstheme="minorHAnsi"/>
                <w:color w:val="000000"/>
                <w:szCs w:val="22"/>
                <w:lang w:val="el-GR" w:eastAsia="en-US"/>
              </w:rPr>
              <w:t>. Να μπορεί να χρησιμοποιηθεί τόσο για την απομόνωση μικρών πρωτεινών όσο και μεγάλων πρωτεινικών συμπλόκων. Να μπορεί να χρησιμοποιηθεί για την πλήρωση απλών στηλών βαρυτικής ροής (</w:t>
            </w:r>
            <w:r w:rsidRPr="006C4D32">
              <w:rPr>
                <w:rFonts w:asciiTheme="minorHAnsi" w:hAnsiTheme="minorHAnsi" w:cstheme="minorHAnsi"/>
                <w:color w:val="000000"/>
                <w:szCs w:val="22"/>
                <w:lang w:val="en-US" w:eastAsia="en-US"/>
              </w:rPr>
              <w:t>gravity</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flow</w:t>
            </w:r>
            <w:r w:rsidRPr="006C4D32">
              <w:rPr>
                <w:rFonts w:asciiTheme="minorHAnsi" w:hAnsiTheme="minorHAnsi" w:cstheme="minorHAnsi"/>
                <w:color w:val="000000"/>
                <w:szCs w:val="22"/>
                <w:lang w:val="el-GR" w:eastAsia="en-US"/>
              </w:rPr>
              <w:t xml:space="preserve">) αλλά και στηλών </w:t>
            </w:r>
            <w:r w:rsidRPr="006C4D32">
              <w:rPr>
                <w:rFonts w:asciiTheme="minorHAnsi" w:hAnsiTheme="minorHAnsi" w:cstheme="minorHAnsi"/>
                <w:color w:val="000000"/>
                <w:szCs w:val="22"/>
                <w:lang w:val="en-US" w:eastAsia="en-US"/>
              </w:rPr>
              <w:t>FPLC</w:t>
            </w:r>
            <w:r w:rsidRPr="006C4D32">
              <w:rPr>
                <w:rFonts w:asciiTheme="minorHAnsi" w:hAnsiTheme="minorHAnsi" w:cstheme="minorHAnsi"/>
                <w:color w:val="000000"/>
                <w:szCs w:val="22"/>
                <w:lang w:val="el-GR" w:eastAsia="en-US"/>
              </w:rPr>
              <w:t xml:space="preserve">. Η εφαρμοζόμενη μέγιστη ταχύτητα ροής σε </w:t>
            </w:r>
            <w:r w:rsidRPr="006C4D32">
              <w:rPr>
                <w:rFonts w:asciiTheme="minorHAnsi" w:hAnsiTheme="minorHAnsi" w:cstheme="minorHAnsi"/>
                <w:color w:val="000000"/>
                <w:szCs w:val="22"/>
                <w:lang w:val="en-US" w:eastAsia="en-US"/>
              </w:rPr>
              <w:t>FPLC</w:t>
            </w:r>
            <w:r w:rsidRPr="006C4D32">
              <w:rPr>
                <w:rFonts w:asciiTheme="minorHAnsi" w:hAnsiTheme="minorHAnsi" w:cstheme="minorHAnsi"/>
                <w:color w:val="000000"/>
                <w:szCs w:val="22"/>
                <w:lang w:val="el-GR" w:eastAsia="en-US"/>
              </w:rPr>
              <w:t xml:space="preserve"> στήλη να είναι 300</w:t>
            </w:r>
            <w:r w:rsidRPr="006C4D32">
              <w:rPr>
                <w:rFonts w:asciiTheme="minorHAnsi" w:hAnsiTheme="minorHAnsi" w:cstheme="minorHAnsi"/>
                <w:color w:val="000000"/>
                <w:szCs w:val="22"/>
                <w:lang w:val="en-US" w:eastAsia="en-US"/>
              </w:rPr>
              <w:t>cm</w:t>
            </w:r>
            <w:r w:rsidRPr="006C4D32">
              <w:rPr>
                <w:rFonts w:asciiTheme="minorHAnsi" w:hAnsiTheme="minorHAnsi" w:cstheme="minorHAnsi"/>
                <w:color w:val="000000"/>
                <w:szCs w:val="22"/>
                <w:lang w:val="el-GR" w:eastAsia="en-US"/>
              </w:rPr>
              <w:t>/</w:t>
            </w:r>
            <w:r w:rsidRPr="006C4D32">
              <w:rPr>
                <w:rFonts w:asciiTheme="minorHAnsi" w:hAnsiTheme="minorHAnsi" w:cstheme="minorHAnsi"/>
                <w:color w:val="000000"/>
                <w:szCs w:val="22"/>
                <w:lang w:val="en-US" w:eastAsia="en-US"/>
              </w:rPr>
              <w:t>h</w:t>
            </w:r>
            <w:r w:rsidRPr="006C4D32">
              <w:rPr>
                <w:rFonts w:asciiTheme="minorHAnsi" w:hAnsiTheme="minorHAnsi" w:cstheme="minorHAnsi"/>
                <w:color w:val="000000"/>
                <w:szCs w:val="22"/>
                <w:lang w:val="el-GR" w:eastAsia="en-US"/>
              </w:rPr>
              <w:t xml:space="preserve">. Να φυλάσσεται στου 4-8 </w:t>
            </w:r>
            <w:r w:rsidRPr="006C4D32">
              <w:rPr>
                <w:rFonts w:asciiTheme="minorHAnsi" w:hAnsiTheme="minorHAnsi" w:cstheme="minorHAnsi"/>
                <w:color w:val="000000"/>
                <w:szCs w:val="22"/>
                <w:lang w:val="el-GR" w:eastAsia="en-US"/>
              </w:rPr>
              <w:lastRenderedPageBreak/>
              <w:t xml:space="preserve">βαθμούς Κελσίου. </w:t>
            </w:r>
            <w:r w:rsidRPr="006C4D32">
              <w:rPr>
                <w:rFonts w:asciiTheme="minorHAnsi" w:hAnsiTheme="minorHAnsi" w:cstheme="minorHAnsi"/>
                <w:color w:val="000000"/>
                <w:szCs w:val="22"/>
                <w:lang w:val="en-US" w:eastAsia="en-US"/>
              </w:rPr>
              <w:t>Να διατίθεται σε συσκευασία των 100ml.</w:t>
            </w:r>
          </w:p>
        </w:tc>
        <w:tc>
          <w:tcPr>
            <w:tcW w:w="648"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lastRenderedPageBreak/>
              <w:t>35</w:t>
            </w:r>
          </w:p>
        </w:tc>
        <w:tc>
          <w:tcPr>
            <w:tcW w:w="2373" w:type="pct"/>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6C4D32">
              <w:rPr>
                <w:rFonts w:asciiTheme="minorHAnsi" w:hAnsiTheme="minorHAnsi" w:cstheme="minorHAnsi"/>
                <w:color w:val="000000"/>
                <w:szCs w:val="22"/>
                <w:lang w:val="en-US" w:eastAsia="en-US"/>
              </w:rPr>
              <w:t>ASTM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w:t>
            </w:r>
            <w:r w:rsidRPr="006C4D32">
              <w:rPr>
                <w:rFonts w:asciiTheme="minorHAnsi" w:hAnsiTheme="minorHAnsi" w:cstheme="minorHAnsi"/>
                <w:color w:val="000000"/>
                <w:szCs w:val="22"/>
                <w:lang w:val="el-GR" w:eastAsia="en-US"/>
              </w:rPr>
              <w:t xml:space="preserve">1671] και μη διαπερατά από χημικές ουσίες (ελεγμένα σύμφωνα με ΕΝ 374-3). Μέγεθος </w:t>
            </w:r>
            <w:r w:rsidRPr="006C4D32">
              <w:rPr>
                <w:rFonts w:asciiTheme="minorHAnsi" w:hAnsiTheme="minorHAnsi" w:cstheme="minorHAnsi"/>
                <w:color w:val="000000"/>
                <w:szCs w:val="22"/>
                <w:lang w:val="en-US" w:eastAsia="en-US"/>
              </w:rPr>
              <w:t>Large</w:t>
            </w:r>
            <w:r w:rsidRPr="006C4D32">
              <w:rPr>
                <w:rFonts w:asciiTheme="minorHAnsi" w:hAnsiTheme="minorHAnsi" w:cstheme="minorHAnsi"/>
                <w:color w:val="000000"/>
                <w:szCs w:val="22"/>
                <w:lang w:val="el-GR" w:eastAsia="en-US"/>
              </w:rPr>
              <w:t>. Σε κούτα 10 συσκευασιών των 100τμχ. Να δοθεί τιμή ανά συσκευασία.</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36</w:t>
            </w:r>
          </w:p>
        </w:tc>
        <w:tc>
          <w:tcPr>
            <w:tcW w:w="2373" w:type="pct"/>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6C4D32">
              <w:rPr>
                <w:rFonts w:asciiTheme="minorHAnsi" w:hAnsiTheme="minorHAnsi" w:cstheme="minorHAnsi"/>
                <w:color w:val="000000"/>
                <w:szCs w:val="22"/>
                <w:lang w:val="en-US" w:eastAsia="en-US"/>
              </w:rPr>
              <w:t>ASTM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w:t>
            </w:r>
            <w:r w:rsidRPr="006C4D32">
              <w:rPr>
                <w:rFonts w:asciiTheme="minorHAnsi" w:hAnsiTheme="minorHAnsi" w:cstheme="minorHAnsi"/>
                <w:color w:val="000000"/>
                <w:szCs w:val="22"/>
                <w:lang w:val="el-GR" w:eastAsia="en-US"/>
              </w:rPr>
              <w:t xml:space="preserve">1671] και μη διαπερατά από χημικές ουσίες (ελεγμένα σύμφωνα με ΕΝ 374-3). Μέγεθος </w:t>
            </w:r>
            <w:r w:rsidRPr="006C4D32">
              <w:rPr>
                <w:rFonts w:asciiTheme="minorHAnsi" w:hAnsiTheme="minorHAnsi" w:cstheme="minorHAnsi"/>
                <w:color w:val="000000"/>
                <w:szCs w:val="22"/>
                <w:lang w:val="en-US" w:eastAsia="en-US"/>
              </w:rPr>
              <w:t>Medium</w:t>
            </w:r>
            <w:r w:rsidRPr="006C4D32">
              <w:rPr>
                <w:rFonts w:asciiTheme="minorHAnsi" w:hAnsiTheme="minorHAnsi" w:cstheme="minorHAnsi"/>
                <w:color w:val="000000"/>
                <w:szCs w:val="22"/>
                <w:lang w:val="el-GR" w:eastAsia="en-US"/>
              </w:rPr>
              <w:t>. Σε κούτα 10 συσκευασιών των 100τμχ. Να δοθεί τιμή ανά συσκευασία.</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r w:rsidR="005721C3" w:rsidRPr="005721C3" w:rsidTr="00B8048C">
        <w:trPr>
          <w:trHeight w:val="765"/>
          <w:jc w:val="center"/>
        </w:trPr>
        <w:tc>
          <w:tcPr>
            <w:tcW w:w="415" w:type="pct"/>
            <w:shd w:val="clear" w:color="auto" w:fill="auto"/>
            <w:noWrap/>
            <w:vAlign w:val="center"/>
            <w:hideMark/>
          </w:tcPr>
          <w:p w:rsidR="005721C3" w:rsidRPr="006C4D32" w:rsidRDefault="005721C3" w:rsidP="00B8048C">
            <w:pPr>
              <w:suppressAutoHyphens w:val="0"/>
              <w:jc w:val="center"/>
              <w:rPr>
                <w:rFonts w:asciiTheme="minorHAnsi" w:hAnsiTheme="minorHAnsi" w:cstheme="minorHAnsi"/>
                <w:color w:val="000000"/>
                <w:szCs w:val="22"/>
                <w:lang w:val="en-US" w:eastAsia="en-US"/>
              </w:rPr>
            </w:pPr>
            <w:r>
              <w:rPr>
                <w:rFonts w:asciiTheme="minorHAnsi" w:hAnsiTheme="minorHAnsi" w:cstheme="minorHAnsi"/>
                <w:color w:val="000000"/>
                <w:szCs w:val="22"/>
                <w:lang w:val="en-US" w:eastAsia="en-US"/>
              </w:rPr>
              <w:t>37</w:t>
            </w:r>
          </w:p>
        </w:tc>
        <w:tc>
          <w:tcPr>
            <w:tcW w:w="2373" w:type="pct"/>
            <w:shd w:val="clear" w:color="000000" w:fill="FFFFFF"/>
            <w:noWrap/>
            <w:vAlign w:val="center"/>
            <w:hideMark/>
          </w:tcPr>
          <w:p w:rsidR="005721C3" w:rsidRPr="006C4D32" w:rsidRDefault="005721C3" w:rsidP="00B8048C">
            <w:pPr>
              <w:suppressAutoHyphens w:val="0"/>
              <w:rPr>
                <w:rFonts w:asciiTheme="minorHAnsi" w:hAnsiTheme="minorHAnsi" w:cstheme="minorHAnsi"/>
                <w:color w:val="000000"/>
                <w:szCs w:val="22"/>
                <w:lang w:val="el-GR" w:eastAsia="en-US"/>
              </w:rPr>
            </w:pPr>
            <w:r w:rsidRPr="006C4D32">
              <w:rPr>
                <w:rFonts w:asciiTheme="minorHAnsi" w:hAnsiTheme="minorHAnsi" w:cstheme="minorHAnsi"/>
                <w:color w:val="000000"/>
                <w:szCs w:val="22"/>
                <w:lang w:val="el-GR" w:eastAsia="en-US"/>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6C4D32">
              <w:rPr>
                <w:rFonts w:asciiTheme="minorHAnsi" w:hAnsiTheme="minorHAnsi" w:cstheme="minorHAnsi"/>
                <w:color w:val="000000"/>
                <w:szCs w:val="22"/>
                <w:lang w:val="en-US" w:eastAsia="en-US"/>
              </w:rPr>
              <w:t>ASTM</w:t>
            </w:r>
            <w:r w:rsidRPr="006C4D32">
              <w:rPr>
                <w:rFonts w:asciiTheme="minorHAnsi" w:hAnsiTheme="minorHAnsi" w:cstheme="minorHAnsi"/>
                <w:color w:val="000000"/>
                <w:szCs w:val="22"/>
                <w:lang w:val="el-GR" w:eastAsia="en-US"/>
              </w:rPr>
              <w:t xml:space="preserve"> </w:t>
            </w:r>
            <w:r w:rsidRPr="006C4D32">
              <w:rPr>
                <w:rFonts w:asciiTheme="minorHAnsi" w:hAnsiTheme="minorHAnsi" w:cstheme="minorHAnsi"/>
                <w:color w:val="000000"/>
                <w:szCs w:val="22"/>
                <w:lang w:val="en-US" w:eastAsia="en-US"/>
              </w:rPr>
              <w:t>F</w:t>
            </w:r>
            <w:r w:rsidRPr="006C4D32">
              <w:rPr>
                <w:rFonts w:asciiTheme="minorHAnsi" w:hAnsiTheme="minorHAnsi" w:cstheme="minorHAnsi"/>
                <w:color w:val="000000"/>
                <w:szCs w:val="22"/>
                <w:lang w:val="el-GR" w:eastAsia="en-US"/>
              </w:rPr>
              <w:t xml:space="preserve">1671] και μη διαπερατά από χημικές ουσίες (ελεγμένα σύμφωνα με ΕΝ 374-3). Μέγεθος </w:t>
            </w:r>
            <w:r w:rsidRPr="006C4D32">
              <w:rPr>
                <w:rFonts w:asciiTheme="minorHAnsi" w:hAnsiTheme="minorHAnsi" w:cstheme="minorHAnsi"/>
                <w:color w:val="000000"/>
                <w:szCs w:val="22"/>
                <w:lang w:val="en-US" w:eastAsia="en-US"/>
              </w:rPr>
              <w:t>Small</w:t>
            </w:r>
            <w:r w:rsidRPr="006C4D32">
              <w:rPr>
                <w:rFonts w:asciiTheme="minorHAnsi" w:hAnsiTheme="minorHAnsi" w:cstheme="minorHAnsi"/>
                <w:color w:val="000000"/>
                <w:szCs w:val="22"/>
                <w:lang w:val="el-GR" w:eastAsia="en-US"/>
              </w:rPr>
              <w:t>. Σε κούτα 10 συσκευασιών των 100τμχ. Να δοθεί τιμή ανά συσκευασία.</w:t>
            </w:r>
          </w:p>
        </w:tc>
        <w:tc>
          <w:tcPr>
            <w:tcW w:w="648"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575"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c>
          <w:tcPr>
            <w:tcW w:w="989" w:type="pct"/>
            <w:shd w:val="clear" w:color="000000" w:fill="FFFFFF"/>
          </w:tcPr>
          <w:p w:rsidR="005721C3" w:rsidRPr="006C4D32" w:rsidRDefault="005721C3" w:rsidP="00B8048C">
            <w:pPr>
              <w:suppressAutoHyphens w:val="0"/>
              <w:jc w:val="center"/>
              <w:rPr>
                <w:rFonts w:asciiTheme="minorHAnsi" w:hAnsiTheme="minorHAnsi" w:cstheme="minorHAnsi"/>
                <w:color w:val="000000"/>
                <w:szCs w:val="22"/>
                <w:lang w:val="el-GR" w:eastAsia="en-US"/>
              </w:rPr>
            </w:pPr>
          </w:p>
        </w:tc>
      </w:tr>
    </w:tbl>
    <w:p w:rsidR="005721C3" w:rsidRPr="00C53907" w:rsidRDefault="005721C3" w:rsidP="005721C3">
      <w:pPr>
        <w:pStyle w:val="normalwithoutspacing"/>
        <w:rPr>
          <w:rFonts w:asciiTheme="minorHAnsi" w:hAnsiTheme="minorHAnsi"/>
          <w:szCs w:val="22"/>
        </w:rPr>
      </w:pPr>
    </w:p>
    <w:p w:rsidR="005721C3" w:rsidRPr="00C53907" w:rsidRDefault="005721C3" w:rsidP="005721C3">
      <w:pPr>
        <w:rPr>
          <w:rFonts w:asciiTheme="minorHAnsi" w:hAnsiTheme="minorHAnsi"/>
          <w:b/>
          <w:szCs w:val="22"/>
          <w:u w:val="single"/>
          <w:lang w:val="el-GR"/>
        </w:rPr>
      </w:pPr>
    </w:p>
    <w:p w:rsidR="005721C3" w:rsidRPr="00C53907" w:rsidRDefault="005721C3" w:rsidP="005721C3">
      <w:pPr>
        <w:rPr>
          <w:rFonts w:asciiTheme="minorHAnsi" w:hAnsiTheme="minorHAnsi"/>
          <w:b/>
          <w:szCs w:val="22"/>
          <w:u w:val="single"/>
          <w:lang w:val="el-GR"/>
        </w:rPr>
      </w:pPr>
    </w:p>
    <w:p w:rsidR="005721C3" w:rsidRPr="00C53907" w:rsidRDefault="005721C3" w:rsidP="005721C3">
      <w:pPr>
        <w:rPr>
          <w:rFonts w:asciiTheme="minorHAnsi" w:hAnsiTheme="minorHAnsi"/>
          <w:b/>
          <w:szCs w:val="22"/>
          <w:u w:val="single"/>
          <w:lang w:val="el-GR"/>
        </w:rPr>
      </w:pPr>
    </w:p>
    <w:p w:rsidR="00943990" w:rsidRPr="005721C3" w:rsidRDefault="00943990">
      <w:pPr>
        <w:rPr>
          <w:lang w:val="el-GR"/>
        </w:rPr>
      </w:pPr>
    </w:p>
    <w:sectPr w:rsidR="00943990" w:rsidRPr="005721C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087" w:rsidRDefault="002E0087" w:rsidP="005721C3">
      <w:pPr>
        <w:spacing w:after="0"/>
      </w:pPr>
      <w:r>
        <w:separator/>
      </w:r>
    </w:p>
  </w:endnote>
  <w:endnote w:type="continuationSeparator" w:id="0">
    <w:p w:rsidR="002E0087" w:rsidRDefault="002E0087" w:rsidP="00572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087" w:rsidRDefault="002E0087" w:rsidP="005721C3">
      <w:pPr>
        <w:spacing w:after="0"/>
      </w:pPr>
      <w:r>
        <w:separator/>
      </w:r>
    </w:p>
  </w:footnote>
  <w:footnote w:type="continuationSeparator" w:id="0">
    <w:p w:rsidR="002E0087" w:rsidRDefault="002E0087" w:rsidP="005721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C3" w:rsidRDefault="005721C3">
    <w:pPr>
      <w:pStyle w:val="a3"/>
    </w:pPr>
  </w:p>
  <w:p w:rsidR="005721C3" w:rsidRDefault="005721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C3"/>
    <w:rsid w:val="002E0087"/>
    <w:rsid w:val="005721C3"/>
    <w:rsid w:val="00943990"/>
    <w:rsid w:val="00AF0601"/>
    <w:rsid w:val="00E3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53FD-86B4-4EF7-903A-70B79987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C3"/>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5721C3"/>
    <w:pPr>
      <w:spacing w:after="60"/>
    </w:pPr>
    <w:rPr>
      <w:lang w:val="el-GR"/>
    </w:rPr>
  </w:style>
  <w:style w:type="paragraph" w:styleId="a3">
    <w:name w:val="header"/>
    <w:basedOn w:val="a"/>
    <w:link w:val="Char"/>
    <w:uiPriority w:val="99"/>
    <w:unhideWhenUsed/>
    <w:rsid w:val="005721C3"/>
    <w:pPr>
      <w:tabs>
        <w:tab w:val="center" w:pos="4153"/>
        <w:tab w:val="right" w:pos="8306"/>
      </w:tabs>
      <w:spacing w:after="0"/>
    </w:pPr>
  </w:style>
  <w:style w:type="character" w:customStyle="1" w:styleId="Char">
    <w:name w:val="Κεφαλίδα Char"/>
    <w:basedOn w:val="a0"/>
    <w:link w:val="a3"/>
    <w:uiPriority w:val="99"/>
    <w:rsid w:val="005721C3"/>
    <w:rPr>
      <w:rFonts w:ascii="Calibri" w:eastAsia="Times New Roman" w:hAnsi="Calibri" w:cs="Calibri"/>
      <w:szCs w:val="24"/>
      <w:lang w:eastAsia="zh-CN"/>
    </w:rPr>
  </w:style>
  <w:style w:type="paragraph" w:styleId="a4">
    <w:name w:val="footer"/>
    <w:basedOn w:val="a"/>
    <w:link w:val="Char0"/>
    <w:uiPriority w:val="99"/>
    <w:unhideWhenUsed/>
    <w:rsid w:val="005721C3"/>
    <w:pPr>
      <w:tabs>
        <w:tab w:val="center" w:pos="4153"/>
        <w:tab w:val="right" w:pos="8306"/>
      </w:tabs>
      <w:spacing w:after="0"/>
    </w:pPr>
  </w:style>
  <w:style w:type="character" w:customStyle="1" w:styleId="Char0">
    <w:name w:val="Υποσέλιδο Char"/>
    <w:basedOn w:val="a0"/>
    <w:link w:val="a4"/>
    <w:uiPriority w:val="99"/>
    <w:rsid w:val="005721C3"/>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3242</Words>
  <Characters>17510</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3</cp:revision>
  <dcterms:created xsi:type="dcterms:W3CDTF">2020-05-15T07:19:00Z</dcterms:created>
  <dcterms:modified xsi:type="dcterms:W3CDTF">2020-05-15T07:19:00Z</dcterms:modified>
</cp:coreProperties>
</file>