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EB5" w:rsidRDefault="00521EB5" w:rsidP="00521EB5">
      <w:pPr>
        <w:pStyle w:val="Heading2"/>
        <w:tabs>
          <w:tab w:val="clear" w:pos="567"/>
          <w:tab w:val="left" w:pos="0"/>
        </w:tabs>
        <w:ind w:left="0" w:firstLine="0"/>
        <w:rPr>
          <w:rFonts w:ascii="Calibri" w:hAnsi="Calibri"/>
          <w:sz w:val="22"/>
          <w:lang w:val="el-GR"/>
        </w:rPr>
      </w:pPr>
      <w:bookmarkStart w:id="0" w:name="_Toc31397481"/>
      <w:r>
        <w:rPr>
          <w:rFonts w:ascii="Calibri" w:hAnsi="Calibri"/>
          <w:sz w:val="22"/>
          <w:lang w:val="el-GR"/>
        </w:rPr>
        <w:t>ΠΑΡΑΡΤΗΜΑ Ι</w:t>
      </w:r>
      <w:r>
        <w:rPr>
          <w:rFonts w:ascii="Calibri" w:hAnsi="Calibri"/>
          <w:sz w:val="22"/>
          <w:lang w:val="en-US"/>
        </w:rPr>
        <w:t>II</w:t>
      </w:r>
      <w:r w:rsidRPr="009E0ECE">
        <w:rPr>
          <w:rFonts w:ascii="Calibri" w:hAnsi="Calibri"/>
          <w:sz w:val="22"/>
          <w:lang w:val="el-GR"/>
        </w:rPr>
        <w:t xml:space="preserve"> – Φύλλο συμφωνίας με τις Τεχνικές Προδιαγραφές</w:t>
      </w:r>
      <w:bookmarkEnd w:id="0"/>
    </w:p>
    <w:p w:rsidR="00521EB5" w:rsidRPr="00D62E6F" w:rsidRDefault="00521EB5" w:rsidP="00521EB5">
      <w:pPr>
        <w:rPr>
          <w:lang w:val="el-GR"/>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962"/>
        <w:gridCol w:w="850"/>
        <w:gridCol w:w="992"/>
        <w:gridCol w:w="1701"/>
        <w:tblGridChange w:id="1">
          <w:tblGrid>
            <w:gridCol w:w="675"/>
            <w:gridCol w:w="4962"/>
            <w:gridCol w:w="850"/>
            <w:gridCol w:w="992"/>
            <w:gridCol w:w="1701"/>
          </w:tblGrid>
        </w:tblGridChange>
      </w:tblGrid>
      <w:tr w:rsidR="00521EB5" w:rsidRPr="003245D7" w:rsidTr="00012E36">
        <w:tc>
          <w:tcPr>
            <w:tcW w:w="675" w:type="dxa"/>
            <w:shd w:val="clear" w:color="auto" w:fill="auto"/>
          </w:tcPr>
          <w:p w:rsidR="00521EB5" w:rsidRPr="003245D7" w:rsidRDefault="00521EB5" w:rsidP="00012E36">
            <w:pPr>
              <w:jc w:val="left"/>
              <w:rPr>
                <w:rFonts w:eastAsia="Calibri"/>
                <w:b/>
                <w:szCs w:val="22"/>
                <w:lang w:val="el-GR"/>
              </w:rPr>
            </w:pPr>
          </w:p>
        </w:tc>
        <w:tc>
          <w:tcPr>
            <w:tcW w:w="4962" w:type="dxa"/>
            <w:shd w:val="clear" w:color="auto" w:fill="auto"/>
          </w:tcPr>
          <w:p w:rsidR="00521EB5" w:rsidRPr="003245D7" w:rsidRDefault="00521EB5" w:rsidP="00012E36">
            <w:pPr>
              <w:jc w:val="left"/>
              <w:rPr>
                <w:rFonts w:eastAsia="Calibri"/>
                <w:b/>
                <w:szCs w:val="22"/>
                <w:lang w:val="el-GR"/>
              </w:rPr>
            </w:pPr>
          </w:p>
        </w:tc>
        <w:tc>
          <w:tcPr>
            <w:tcW w:w="1842" w:type="dxa"/>
            <w:gridSpan w:val="2"/>
            <w:shd w:val="clear" w:color="auto" w:fill="auto"/>
          </w:tcPr>
          <w:p w:rsidR="00521EB5" w:rsidRPr="003245D7" w:rsidRDefault="00521EB5" w:rsidP="00012E36">
            <w:pPr>
              <w:jc w:val="left"/>
              <w:rPr>
                <w:rFonts w:eastAsia="Calibri"/>
                <w:b/>
                <w:szCs w:val="22"/>
              </w:rPr>
            </w:pPr>
            <w:r w:rsidRPr="003245D7">
              <w:rPr>
                <w:rFonts w:eastAsia="Calibri"/>
                <w:b/>
                <w:szCs w:val="22"/>
                <w:lang w:val="el-GR"/>
              </w:rPr>
              <w:t>ΑΠΑΙΤΗΣΗ</w:t>
            </w:r>
          </w:p>
        </w:tc>
        <w:tc>
          <w:tcPr>
            <w:tcW w:w="1701" w:type="dxa"/>
            <w:shd w:val="clear" w:color="auto" w:fill="auto"/>
          </w:tcPr>
          <w:p w:rsidR="00521EB5" w:rsidRPr="003245D7" w:rsidRDefault="00521EB5" w:rsidP="00012E36">
            <w:pPr>
              <w:jc w:val="left"/>
              <w:rPr>
                <w:rFonts w:eastAsia="Calibri"/>
                <w:b/>
                <w:szCs w:val="22"/>
              </w:rPr>
            </w:pPr>
          </w:p>
        </w:tc>
      </w:tr>
      <w:tr w:rsidR="00521EB5" w:rsidRPr="003245D7" w:rsidTr="00012E36">
        <w:trPr>
          <w:trHeight w:val="372"/>
        </w:trPr>
        <w:tc>
          <w:tcPr>
            <w:tcW w:w="675" w:type="dxa"/>
            <w:tcBorders>
              <w:bottom w:val="single" w:sz="4" w:space="0" w:color="auto"/>
            </w:tcBorders>
            <w:shd w:val="clear" w:color="auto" w:fill="auto"/>
          </w:tcPr>
          <w:p w:rsidR="00521EB5" w:rsidRPr="003245D7" w:rsidRDefault="00521EB5" w:rsidP="00012E36">
            <w:pPr>
              <w:jc w:val="left"/>
              <w:rPr>
                <w:rFonts w:eastAsia="Calibri"/>
                <w:b/>
                <w:szCs w:val="22"/>
              </w:rPr>
            </w:pPr>
            <w:r w:rsidRPr="003245D7">
              <w:rPr>
                <w:rFonts w:eastAsia="Calibri"/>
                <w:b/>
                <w:szCs w:val="22"/>
              </w:rPr>
              <w:t>Α/Α</w:t>
            </w:r>
          </w:p>
        </w:tc>
        <w:tc>
          <w:tcPr>
            <w:tcW w:w="4962" w:type="dxa"/>
            <w:tcBorders>
              <w:bottom w:val="single" w:sz="4" w:space="0" w:color="auto"/>
            </w:tcBorders>
            <w:shd w:val="clear" w:color="auto" w:fill="auto"/>
          </w:tcPr>
          <w:p w:rsidR="00521EB5" w:rsidRPr="003245D7" w:rsidRDefault="00521EB5" w:rsidP="00012E36">
            <w:pPr>
              <w:jc w:val="left"/>
              <w:rPr>
                <w:rFonts w:eastAsia="Calibri"/>
                <w:b/>
                <w:szCs w:val="22"/>
              </w:rPr>
            </w:pPr>
            <w:r w:rsidRPr="003245D7">
              <w:rPr>
                <w:rFonts w:eastAsia="Calibri"/>
                <w:b/>
                <w:szCs w:val="22"/>
              </w:rPr>
              <w:t>ΤΕΧΝΙΚΕΣ ΠΡΟΔΙΑΓΡΑΦΕΣ</w:t>
            </w:r>
          </w:p>
        </w:tc>
        <w:tc>
          <w:tcPr>
            <w:tcW w:w="850" w:type="dxa"/>
            <w:tcBorders>
              <w:bottom w:val="single" w:sz="4" w:space="0" w:color="auto"/>
            </w:tcBorders>
            <w:shd w:val="clear" w:color="auto" w:fill="auto"/>
          </w:tcPr>
          <w:p w:rsidR="00521EB5" w:rsidRPr="003245D7" w:rsidRDefault="00521EB5" w:rsidP="00012E36">
            <w:pPr>
              <w:jc w:val="left"/>
              <w:rPr>
                <w:rFonts w:eastAsia="Calibri"/>
                <w:b/>
                <w:szCs w:val="22"/>
              </w:rPr>
            </w:pPr>
            <w:r w:rsidRPr="003245D7">
              <w:rPr>
                <w:rFonts w:eastAsia="Calibri"/>
                <w:b/>
                <w:szCs w:val="22"/>
              </w:rPr>
              <w:t>ΝΑΙ</w:t>
            </w:r>
          </w:p>
        </w:tc>
        <w:tc>
          <w:tcPr>
            <w:tcW w:w="992" w:type="dxa"/>
            <w:tcBorders>
              <w:bottom w:val="single" w:sz="4" w:space="0" w:color="auto"/>
            </w:tcBorders>
            <w:shd w:val="clear" w:color="auto" w:fill="auto"/>
          </w:tcPr>
          <w:p w:rsidR="00521EB5" w:rsidRPr="003245D7" w:rsidRDefault="00521EB5" w:rsidP="00012E36">
            <w:pPr>
              <w:jc w:val="left"/>
              <w:rPr>
                <w:rFonts w:eastAsia="Calibri"/>
                <w:b/>
                <w:szCs w:val="22"/>
              </w:rPr>
            </w:pPr>
            <w:r w:rsidRPr="003245D7">
              <w:rPr>
                <w:rFonts w:eastAsia="Calibri"/>
                <w:b/>
                <w:szCs w:val="22"/>
              </w:rPr>
              <w:t>ΟΧΙ</w:t>
            </w:r>
          </w:p>
        </w:tc>
        <w:tc>
          <w:tcPr>
            <w:tcW w:w="1701" w:type="dxa"/>
            <w:tcBorders>
              <w:bottom w:val="single" w:sz="4" w:space="0" w:color="auto"/>
            </w:tcBorders>
            <w:shd w:val="clear" w:color="auto" w:fill="auto"/>
          </w:tcPr>
          <w:p w:rsidR="00521EB5" w:rsidRPr="003245D7" w:rsidRDefault="00521EB5" w:rsidP="00012E36">
            <w:pPr>
              <w:jc w:val="left"/>
              <w:rPr>
                <w:rFonts w:eastAsia="Calibri"/>
                <w:b/>
                <w:szCs w:val="22"/>
              </w:rPr>
            </w:pPr>
            <w:r w:rsidRPr="003245D7">
              <w:rPr>
                <w:rFonts w:eastAsia="Calibri"/>
                <w:b/>
                <w:szCs w:val="22"/>
              </w:rPr>
              <w:t>ΠΑΡΑΠΟΜΠΗ</w:t>
            </w:r>
          </w:p>
        </w:tc>
      </w:tr>
      <w:tr w:rsidR="00521EB5" w:rsidRPr="003245D7" w:rsidTr="00012E36">
        <w:trPr>
          <w:trHeight w:val="698"/>
        </w:trPr>
        <w:tc>
          <w:tcPr>
            <w:tcW w:w="675" w:type="dxa"/>
            <w:tcBorders>
              <w:bottom w:val="single" w:sz="4" w:space="0" w:color="auto"/>
            </w:tcBorders>
            <w:shd w:val="clear" w:color="auto" w:fill="auto"/>
          </w:tcPr>
          <w:p w:rsidR="00521EB5" w:rsidRPr="003245D7" w:rsidRDefault="00521EB5" w:rsidP="00012E36">
            <w:pPr>
              <w:jc w:val="left"/>
              <w:rPr>
                <w:rFonts w:eastAsia="Calibri"/>
                <w:b/>
                <w:szCs w:val="22"/>
                <w:lang w:val="el-GR"/>
              </w:rPr>
            </w:pPr>
            <w:r>
              <w:rPr>
                <w:rFonts w:eastAsia="Calibri"/>
                <w:b/>
                <w:szCs w:val="22"/>
                <w:lang w:val="el-GR"/>
              </w:rPr>
              <w:t>1</w:t>
            </w:r>
          </w:p>
        </w:tc>
        <w:tc>
          <w:tcPr>
            <w:tcW w:w="4962" w:type="dxa"/>
            <w:tcBorders>
              <w:bottom w:val="single" w:sz="4" w:space="0" w:color="auto"/>
            </w:tcBorders>
            <w:shd w:val="clear" w:color="auto" w:fill="auto"/>
          </w:tcPr>
          <w:p w:rsidR="00521EB5" w:rsidRPr="003245D7" w:rsidRDefault="00521EB5" w:rsidP="00012E36">
            <w:pPr>
              <w:spacing w:after="0"/>
              <w:rPr>
                <w:b/>
                <w:szCs w:val="22"/>
                <w:u w:val="single"/>
                <w:lang w:val="el-GR"/>
              </w:rPr>
            </w:pPr>
            <w:proofErr w:type="spellStart"/>
            <w:r w:rsidRPr="003245D7">
              <w:rPr>
                <w:b/>
                <w:szCs w:val="22"/>
                <w:u w:val="single"/>
                <w:lang w:val="el-GR"/>
              </w:rPr>
              <w:t>Αντιοφικός</w:t>
            </w:r>
            <w:proofErr w:type="spellEnd"/>
            <w:r w:rsidRPr="003245D7">
              <w:rPr>
                <w:b/>
                <w:szCs w:val="22"/>
                <w:u w:val="single"/>
                <w:lang w:val="el-GR"/>
              </w:rPr>
              <w:t xml:space="preserve"> </w:t>
            </w:r>
            <w:proofErr w:type="spellStart"/>
            <w:r w:rsidRPr="003245D7">
              <w:rPr>
                <w:b/>
                <w:szCs w:val="22"/>
                <w:u w:val="single"/>
                <w:lang w:val="el-GR"/>
              </w:rPr>
              <w:t>ορρός</w:t>
            </w:r>
            <w:proofErr w:type="spellEnd"/>
          </w:p>
          <w:p w:rsidR="00521EB5" w:rsidRPr="003245D7" w:rsidRDefault="00521EB5" w:rsidP="00012E36">
            <w:pPr>
              <w:spacing w:after="0"/>
              <w:rPr>
                <w:szCs w:val="22"/>
                <w:lang w:val="el-GR"/>
              </w:rPr>
            </w:pPr>
            <w:r w:rsidRPr="003245D7">
              <w:rPr>
                <w:szCs w:val="22"/>
                <w:lang w:val="el-GR"/>
              </w:rPr>
              <w:t xml:space="preserve">Το προσφερόμενο σκεύασμα του </w:t>
            </w:r>
            <w:proofErr w:type="spellStart"/>
            <w:r w:rsidRPr="003245D7">
              <w:rPr>
                <w:szCs w:val="22"/>
                <w:lang w:val="el-GR"/>
              </w:rPr>
              <w:t>αντιοφικού</w:t>
            </w:r>
            <w:proofErr w:type="spellEnd"/>
            <w:r w:rsidRPr="003245D7">
              <w:rPr>
                <w:szCs w:val="22"/>
                <w:lang w:val="el-GR"/>
              </w:rPr>
              <w:t xml:space="preserve"> </w:t>
            </w:r>
            <w:proofErr w:type="spellStart"/>
            <w:r w:rsidRPr="003245D7">
              <w:rPr>
                <w:szCs w:val="22"/>
                <w:lang w:val="el-GR"/>
              </w:rPr>
              <w:t>ορρού</w:t>
            </w:r>
            <w:proofErr w:type="spellEnd"/>
            <w:r w:rsidRPr="003245D7">
              <w:rPr>
                <w:szCs w:val="22"/>
                <w:lang w:val="el-GR"/>
              </w:rPr>
              <w:t xml:space="preserve"> για ανθρώπινη χρήση πρέπει αποδεδειγμένα να επιδεικνύει ειδική ή/και διασταυρούμενη δραστικότητα των </w:t>
            </w:r>
            <w:proofErr w:type="spellStart"/>
            <w:r w:rsidRPr="003245D7">
              <w:rPr>
                <w:szCs w:val="22"/>
                <w:lang w:val="el-GR"/>
              </w:rPr>
              <w:t>εξουδετερωτικών</w:t>
            </w:r>
            <w:proofErr w:type="spellEnd"/>
            <w:r w:rsidRPr="003245D7">
              <w:rPr>
                <w:szCs w:val="22"/>
                <w:lang w:val="el-GR"/>
              </w:rPr>
              <w:t xml:space="preserve"> αντισωμάτων έναντι τουλάχιστον δύο τοξινών φιδιών (οχιές) που ενδημούν στην Ελλάδα (</w:t>
            </w:r>
            <w:proofErr w:type="spellStart"/>
            <w:r w:rsidRPr="003245D7">
              <w:rPr>
                <w:i/>
                <w:szCs w:val="22"/>
                <w:lang w:val="el-GR"/>
              </w:rPr>
              <w:t>Vipera</w:t>
            </w:r>
            <w:proofErr w:type="spellEnd"/>
            <w:r w:rsidRPr="003245D7">
              <w:rPr>
                <w:i/>
                <w:szCs w:val="22"/>
                <w:lang w:val="el-GR"/>
              </w:rPr>
              <w:t xml:space="preserve"> </w:t>
            </w:r>
            <w:proofErr w:type="spellStart"/>
            <w:r w:rsidRPr="003245D7">
              <w:rPr>
                <w:i/>
                <w:szCs w:val="22"/>
                <w:lang w:val="el-GR"/>
              </w:rPr>
              <w:t>ammodytes</w:t>
            </w:r>
            <w:proofErr w:type="spellEnd"/>
            <w:r w:rsidRPr="003245D7">
              <w:rPr>
                <w:i/>
                <w:szCs w:val="22"/>
                <w:lang w:val="el-GR"/>
              </w:rPr>
              <w:t xml:space="preserve">, </w:t>
            </w:r>
            <w:proofErr w:type="spellStart"/>
            <w:r w:rsidRPr="003245D7">
              <w:rPr>
                <w:i/>
                <w:szCs w:val="22"/>
                <w:lang w:val="el-GR"/>
              </w:rPr>
              <w:t>Vipera</w:t>
            </w:r>
            <w:proofErr w:type="spellEnd"/>
            <w:r w:rsidRPr="003245D7">
              <w:rPr>
                <w:i/>
                <w:szCs w:val="22"/>
                <w:lang w:val="el-GR"/>
              </w:rPr>
              <w:t xml:space="preserve"> </w:t>
            </w:r>
            <w:proofErr w:type="spellStart"/>
            <w:r w:rsidRPr="003245D7">
              <w:rPr>
                <w:i/>
                <w:szCs w:val="22"/>
                <w:lang w:val="el-GR"/>
              </w:rPr>
              <w:t>berus</w:t>
            </w:r>
            <w:proofErr w:type="spellEnd"/>
            <w:r w:rsidRPr="003245D7">
              <w:rPr>
                <w:i/>
                <w:szCs w:val="22"/>
                <w:lang w:val="el-GR"/>
              </w:rPr>
              <w:t xml:space="preserve">, </w:t>
            </w:r>
            <w:proofErr w:type="spellStart"/>
            <w:r w:rsidRPr="003245D7">
              <w:rPr>
                <w:i/>
                <w:szCs w:val="22"/>
                <w:lang w:val="el-GR"/>
              </w:rPr>
              <w:t>Vipera</w:t>
            </w:r>
            <w:proofErr w:type="spellEnd"/>
            <w:r w:rsidRPr="003245D7">
              <w:rPr>
                <w:i/>
                <w:szCs w:val="22"/>
                <w:lang w:val="el-GR"/>
              </w:rPr>
              <w:t xml:space="preserve"> </w:t>
            </w:r>
            <w:proofErr w:type="spellStart"/>
            <w:r w:rsidRPr="003245D7">
              <w:rPr>
                <w:i/>
                <w:szCs w:val="22"/>
                <w:lang w:val="el-GR"/>
              </w:rPr>
              <w:t>ursinii</w:t>
            </w:r>
            <w:proofErr w:type="spellEnd"/>
            <w:r w:rsidRPr="003245D7">
              <w:rPr>
                <w:i/>
                <w:szCs w:val="22"/>
                <w:lang w:val="el-GR"/>
              </w:rPr>
              <w:t xml:space="preserve">, </w:t>
            </w:r>
            <w:proofErr w:type="spellStart"/>
            <w:r w:rsidRPr="003245D7">
              <w:rPr>
                <w:i/>
                <w:szCs w:val="22"/>
                <w:lang w:val="el-GR"/>
              </w:rPr>
              <w:t>Montivipera</w:t>
            </w:r>
            <w:proofErr w:type="spellEnd"/>
            <w:r w:rsidRPr="003245D7">
              <w:rPr>
                <w:i/>
                <w:szCs w:val="22"/>
                <w:lang w:val="el-GR"/>
              </w:rPr>
              <w:t xml:space="preserve"> </w:t>
            </w:r>
            <w:proofErr w:type="spellStart"/>
            <w:r w:rsidRPr="003245D7">
              <w:rPr>
                <w:i/>
                <w:szCs w:val="22"/>
                <w:lang w:val="el-GR"/>
              </w:rPr>
              <w:t>xanthina</w:t>
            </w:r>
            <w:proofErr w:type="spellEnd"/>
            <w:r w:rsidRPr="003245D7">
              <w:rPr>
                <w:i/>
                <w:szCs w:val="22"/>
                <w:lang w:val="el-GR"/>
              </w:rPr>
              <w:t xml:space="preserve">, </w:t>
            </w:r>
            <w:proofErr w:type="spellStart"/>
            <w:r w:rsidRPr="003245D7">
              <w:rPr>
                <w:i/>
                <w:szCs w:val="22"/>
                <w:lang w:val="el-GR"/>
              </w:rPr>
              <w:t>Macrovipera</w:t>
            </w:r>
            <w:proofErr w:type="spellEnd"/>
            <w:r w:rsidRPr="003245D7">
              <w:rPr>
                <w:i/>
                <w:szCs w:val="22"/>
                <w:lang w:val="el-GR"/>
              </w:rPr>
              <w:t xml:space="preserve"> </w:t>
            </w:r>
            <w:proofErr w:type="spellStart"/>
            <w:r w:rsidRPr="003245D7">
              <w:rPr>
                <w:i/>
                <w:szCs w:val="22"/>
                <w:lang w:val="el-GR"/>
              </w:rPr>
              <w:t>lebetina</w:t>
            </w:r>
            <w:proofErr w:type="spellEnd"/>
            <w:r w:rsidRPr="003245D7">
              <w:rPr>
                <w:i/>
                <w:szCs w:val="22"/>
                <w:lang w:val="el-GR"/>
              </w:rPr>
              <w:t xml:space="preserve"> </w:t>
            </w:r>
            <w:proofErr w:type="spellStart"/>
            <w:r w:rsidRPr="003245D7">
              <w:rPr>
                <w:i/>
                <w:szCs w:val="22"/>
                <w:lang w:val="el-GR"/>
              </w:rPr>
              <w:t>schweizeri</w:t>
            </w:r>
            <w:proofErr w:type="spellEnd"/>
            <w:r w:rsidRPr="003245D7">
              <w:rPr>
                <w:szCs w:val="22"/>
                <w:lang w:val="el-GR"/>
              </w:rPr>
              <w:t>). Η αποτελεσματικότητα θα πρέπει να αποδεικνύεται κατ’ ελάχιστον, μέσω μελετών σε ζωικά πρότυπα προσδιορισμού της μέσης θανατηφόρου δόσης LD</w:t>
            </w:r>
            <w:r w:rsidRPr="003245D7">
              <w:rPr>
                <w:szCs w:val="22"/>
                <w:vertAlign w:val="subscript"/>
                <w:lang w:val="el-GR"/>
              </w:rPr>
              <w:t>50</w:t>
            </w:r>
            <w:r w:rsidRPr="003245D7">
              <w:rPr>
                <w:szCs w:val="22"/>
                <w:lang w:val="el-GR"/>
              </w:rPr>
              <w:t xml:space="preserve"> και μέσης δραστικής δόσης ED</w:t>
            </w:r>
            <w:r w:rsidRPr="003245D7">
              <w:rPr>
                <w:szCs w:val="22"/>
                <w:vertAlign w:val="subscript"/>
                <w:lang w:val="el-GR"/>
              </w:rPr>
              <w:t>50</w:t>
            </w:r>
            <w:r w:rsidRPr="003245D7">
              <w:rPr>
                <w:szCs w:val="22"/>
                <w:lang w:val="el-GR"/>
              </w:rPr>
              <w:t>. Επιπροσθέτως, είναι επιθυμητή η ύπαρξη δεδομένων επιτυχούς χρήσης του προσφερόμενου σκευάσματος στη χώρα μας, κατά τη διάρκεια προηγουμένων ετών.</w:t>
            </w:r>
          </w:p>
          <w:p w:rsidR="00521EB5" w:rsidRPr="003245D7" w:rsidRDefault="00521EB5" w:rsidP="00012E36">
            <w:pPr>
              <w:spacing w:after="0"/>
              <w:rPr>
                <w:szCs w:val="22"/>
                <w:lang w:val="el-GR"/>
              </w:rPr>
            </w:pPr>
            <w:r w:rsidRPr="003245D7">
              <w:rPr>
                <w:szCs w:val="22"/>
                <w:lang w:val="el-GR"/>
              </w:rPr>
              <w:t xml:space="preserve">Το συγκεκριμένο προϊόν θα πρέπει να πληροί τις ελάχιστες προδιαγραφές της τελευταίας έκδοσης της Ευρωπαϊκής Φαρμακοποιίας (0145) και τις απαιτήσεις  του Π.Ο.Υ., αναφορικά με τον έλεγχο και τον κανονισμό παραγωγής των </w:t>
            </w:r>
            <w:proofErr w:type="spellStart"/>
            <w:r w:rsidRPr="003245D7">
              <w:rPr>
                <w:szCs w:val="22"/>
                <w:lang w:val="el-GR"/>
              </w:rPr>
              <w:t>ανοσοσφαιρινών</w:t>
            </w:r>
            <w:proofErr w:type="spellEnd"/>
            <w:r w:rsidRPr="003245D7">
              <w:rPr>
                <w:szCs w:val="22"/>
                <w:lang w:val="el-GR"/>
              </w:rPr>
              <w:t xml:space="preserve"> έναντι τοξινών φιδιών (</w:t>
            </w:r>
            <w:r w:rsidRPr="003245D7">
              <w:rPr>
                <w:szCs w:val="22"/>
                <w:lang w:val="en-US"/>
              </w:rPr>
              <w:t>WHO</w:t>
            </w:r>
            <w:r w:rsidRPr="003245D7">
              <w:rPr>
                <w:szCs w:val="22"/>
                <w:lang w:val="el-GR"/>
              </w:rPr>
              <w:t xml:space="preserve"> </w:t>
            </w:r>
            <w:r w:rsidRPr="003245D7">
              <w:rPr>
                <w:szCs w:val="22"/>
                <w:lang w:val="en-US"/>
              </w:rPr>
              <w:t>TRS</w:t>
            </w:r>
            <w:r w:rsidRPr="003245D7">
              <w:rPr>
                <w:szCs w:val="22"/>
                <w:lang w:val="el-GR"/>
              </w:rPr>
              <w:t xml:space="preserve"> 1004 </w:t>
            </w:r>
            <w:r w:rsidRPr="003245D7">
              <w:rPr>
                <w:szCs w:val="22"/>
                <w:lang w:val="en-US"/>
              </w:rPr>
              <w:t>Annex</w:t>
            </w:r>
            <w:r w:rsidRPr="003245D7">
              <w:rPr>
                <w:szCs w:val="22"/>
                <w:lang w:val="el-GR"/>
              </w:rPr>
              <w:t xml:space="preserve"> 5) ή να ικανοποιεί ισοδύναμα με αυτά πρότυπα εφόσον αυτό τεκμηριώνεται εγγράφως.</w:t>
            </w:r>
          </w:p>
          <w:p w:rsidR="00521EB5" w:rsidRPr="003245D7" w:rsidRDefault="00521EB5" w:rsidP="00012E36">
            <w:pPr>
              <w:spacing w:after="0"/>
              <w:rPr>
                <w:b/>
                <w:szCs w:val="22"/>
                <w:lang w:val="el-GR"/>
              </w:rPr>
            </w:pPr>
            <w:r w:rsidRPr="003245D7">
              <w:rPr>
                <w:szCs w:val="22"/>
                <w:lang w:val="el-GR"/>
              </w:rPr>
              <w:t>Η συνολική ποσότητα του προϊόντος θα πρέπει να είναι διαθέσιμη πριν από την έναρξη της φετινής θερινής περιόδου</w:t>
            </w:r>
            <w:r w:rsidRPr="003245D7">
              <w:rPr>
                <w:b/>
                <w:szCs w:val="22"/>
                <w:lang w:val="el-GR"/>
              </w:rPr>
              <w:t>.</w:t>
            </w:r>
          </w:p>
          <w:p w:rsidR="00521EB5" w:rsidRPr="003245D7" w:rsidRDefault="00521EB5" w:rsidP="00012E36">
            <w:pPr>
              <w:spacing w:after="0"/>
              <w:rPr>
                <w:color w:val="FF0000"/>
                <w:szCs w:val="22"/>
                <w:lang w:val="el-GR"/>
              </w:rPr>
            </w:pPr>
          </w:p>
        </w:tc>
        <w:tc>
          <w:tcPr>
            <w:tcW w:w="850" w:type="dxa"/>
            <w:tcBorders>
              <w:bottom w:val="single" w:sz="4" w:space="0" w:color="auto"/>
            </w:tcBorders>
            <w:shd w:val="clear" w:color="auto" w:fill="auto"/>
          </w:tcPr>
          <w:p w:rsidR="00521EB5" w:rsidRPr="003245D7" w:rsidRDefault="00521EB5" w:rsidP="00012E36">
            <w:pPr>
              <w:jc w:val="left"/>
              <w:rPr>
                <w:rFonts w:eastAsia="Calibri"/>
                <w:szCs w:val="22"/>
                <w:lang w:val="el-GR"/>
              </w:rPr>
            </w:pPr>
          </w:p>
        </w:tc>
        <w:tc>
          <w:tcPr>
            <w:tcW w:w="992" w:type="dxa"/>
            <w:tcBorders>
              <w:bottom w:val="single" w:sz="4" w:space="0" w:color="auto"/>
            </w:tcBorders>
            <w:shd w:val="clear" w:color="auto" w:fill="auto"/>
          </w:tcPr>
          <w:p w:rsidR="00521EB5" w:rsidRPr="003245D7" w:rsidRDefault="00521EB5" w:rsidP="00012E36">
            <w:pPr>
              <w:jc w:val="left"/>
              <w:rPr>
                <w:rFonts w:eastAsia="Calibri"/>
                <w:szCs w:val="22"/>
                <w:lang w:val="el-GR"/>
              </w:rPr>
            </w:pPr>
          </w:p>
        </w:tc>
        <w:tc>
          <w:tcPr>
            <w:tcW w:w="1701" w:type="dxa"/>
            <w:tcBorders>
              <w:bottom w:val="single" w:sz="4" w:space="0" w:color="auto"/>
            </w:tcBorders>
            <w:shd w:val="clear" w:color="auto" w:fill="auto"/>
          </w:tcPr>
          <w:p w:rsidR="00521EB5" w:rsidRPr="003245D7" w:rsidRDefault="00521EB5" w:rsidP="00012E36">
            <w:pPr>
              <w:jc w:val="left"/>
              <w:rPr>
                <w:rFonts w:eastAsia="Calibri"/>
                <w:szCs w:val="22"/>
                <w:lang w:val="el-GR"/>
              </w:rPr>
            </w:pPr>
          </w:p>
        </w:tc>
      </w:tr>
      <w:tr w:rsidR="00521EB5" w:rsidRPr="003245D7" w:rsidTr="00012E36">
        <w:tc>
          <w:tcPr>
            <w:tcW w:w="675" w:type="dxa"/>
            <w:shd w:val="clear" w:color="auto" w:fill="auto"/>
          </w:tcPr>
          <w:p w:rsidR="00521EB5" w:rsidRPr="003245D7" w:rsidRDefault="00521EB5" w:rsidP="00012E36">
            <w:pPr>
              <w:jc w:val="left"/>
              <w:rPr>
                <w:rFonts w:eastAsia="Calibri"/>
                <w:b/>
                <w:szCs w:val="22"/>
              </w:rPr>
            </w:pPr>
            <w:r w:rsidRPr="003245D7">
              <w:rPr>
                <w:rFonts w:eastAsia="Calibri"/>
                <w:b/>
                <w:szCs w:val="22"/>
              </w:rPr>
              <w:t>Α/Α</w:t>
            </w:r>
          </w:p>
        </w:tc>
        <w:tc>
          <w:tcPr>
            <w:tcW w:w="4962" w:type="dxa"/>
            <w:shd w:val="clear" w:color="auto" w:fill="auto"/>
          </w:tcPr>
          <w:p w:rsidR="00521EB5" w:rsidRPr="003245D7" w:rsidRDefault="00521EB5" w:rsidP="00012E36">
            <w:pPr>
              <w:jc w:val="left"/>
              <w:rPr>
                <w:rFonts w:eastAsia="Calibri"/>
                <w:b/>
                <w:szCs w:val="22"/>
              </w:rPr>
            </w:pPr>
            <w:proofErr w:type="spellStart"/>
            <w:r w:rsidRPr="003245D7">
              <w:rPr>
                <w:rFonts w:eastAsia="Calibri"/>
                <w:b/>
                <w:szCs w:val="22"/>
              </w:rPr>
              <w:t>Ειδικοί</w:t>
            </w:r>
            <w:proofErr w:type="spellEnd"/>
            <w:r w:rsidRPr="003245D7">
              <w:rPr>
                <w:rFonts w:eastAsia="Calibri"/>
                <w:b/>
                <w:szCs w:val="22"/>
              </w:rPr>
              <w:t xml:space="preserve"> </w:t>
            </w:r>
            <w:proofErr w:type="spellStart"/>
            <w:r w:rsidRPr="003245D7">
              <w:rPr>
                <w:rFonts w:eastAsia="Calibri"/>
                <w:b/>
                <w:szCs w:val="22"/>
              </w:rPr>
              <w:t>Όροι</w:t>
            </w:r>
            <w:proofErr w:type="spellEnd"/>
          </w:p>
        </w:tc>
        <w:tc>
          <w:tcPr>
            <w:tcW w:w="850" w:type="dxa"/>
            <w:shd w:val="clear" w:color="auto" w:fill="auto"/>
          </w:tcPr>
          <w:p w:rsidR="00521EB5" w:rsidRPr="003245D7" w:rsidRDefault="00521EB5" w:rsidP="00012E36">
            <w:pPr>
              <w:jc w:val="left"/>
              <w:rPr>
                <w:rFonts w:eastAsia="Calibri"/>
                <w:b/>
                <w:szCs w:val="22"/>
              </w:rPr>
            </w:pPr>
            <w:r w:rsidRPr="003245D7">
              <w:rPr>
                <w:rFonts w:eastAsia="Calibri"/>
                <w:b/>
                <w:szCs w:val="22"/>
              </w:rPr>
              <w:t>ΝΑΙ</w:t>
            </w:r>
          </w:p>
        </w:tc>
        <w:tc>
          <w:tcPr>
            <w:tcW w:w="992" w:type="dxa"/>
            <w:shd w:val="clear" w:color="auto" w:fill="auto"/>
          </w:tcPr>
          <w:p w:rsidR="00521EB5" w:rsidRPr="003245D7" w:rsidRDefault="00521EB5" w:rsidP="00012E36">
            <w:pPr>
              <w:jc w:val="left"/>
              <w:rPr>
                <w:rFonts w:eastAsia="Calibri"/>
                <w:b/>
                <w:szCs w:val="22"/>
              </w:rPr>
            </w:pPr>
            <w:r w:rsidRPr="003245D7">
              <w:rPr>
                <w:rFonts w:eastAsia="Calibri"/>
                <w:b/>
                <w:szCs w:val="22"/>
              </w:rPr>
              <w:t>ΟΧΙ</w:t>
            </w:r>
          </w:p>
        </w:tc>
        <w:tc>
          <w:tcPr>
            <w:tcW w:w="1701" w:type="dxa"/>
            <w:shd w:val="clear" w:color="auto" w:fill="auto"/>
          </w:tcPr>
          <w:p w:rsidR="00521EB5" w:rsidRPr="003245D7" w:rsidRDefault="00521EB5" w:rsidP="00012E36">
            <w:pPr>
              <w:jc w:val="left"/>
              <w:rPr>
                <w:rFonts w:eastAsia="Calibri"/>
                <w:b/>
                <w:szCs w:val="22"/>
              </w:rPr>
            </w:pPr>
            <w:r w:rsidRPr="003245D7">
              <w:rPr>
                <w:rFonts w:eastAsia="Calibri"/>
                <w:b/>
                <w:szCs w:val="22"/>
              </w:rPr>
              <w:t>ΠΑΡΑΠΟΜΠΗ</w:t>
            </w:r>
          </w:p>
        </w:tc>
      </w:tr>
      <w:tr w:rsidR="00521EB5" w:rsidRPr="003245D7" w:rsidTr="00012E36">
        <w:tc>
          <w:tcPr>
            <w:tcW w:w="675" w:type="dxa"/>
            <w:shd w:val="clear" w:color="auto" w:fill="auto"/>
          </w:tcPr>
          <w:p w:rsidR="00521EB5" w:rsidRPr="003245D7" w:rsidRDefault="00521EB5" w:rsidP="00012E36">
            <w:pPr>
              <w:jc w:val="left"/>
              <w:rPr>
                <w:rFonts w:eastAsia="Calibri"/>
                <w:b/>
                <w:szCs w:val="22"/>
              </w:rPr>
            </w:pPr>
            <w:r w:rsidRPr="003245D7">
              <w:rPr>
                <w:rFonts w:eastAsia="Calibri"/>
                <w:b/>
                <w:szCs w:val="22"/>
              </w:rPr>
              <w:t>1</w:t>
            </w:r>
          </w:p>
        </w:tc>
        <w:tc>
          <w:tcPr>
            <w:tcW w:w="4962" w:type="dxa"/>
            <w:shd w:val="clear" w:color="auto" w:fill="auto"/>
          </w:tcPr>
          <w:p w:rsidR="00521EB5" w:rsidRPr="003245D7" w:rsidRDefault="00521EB5" w:rsidP="00012E36">
            <w:pPr>
              <w:spacing w:after="0"/>
              <w:jc w:val="left"/>
              <w:rPr>
                <w:rFonts w:eastAsia="Calibri"/>
                <w:lang w:val="el-GR"/>
              </w:rPr>
            </w:pPr>
            <w:r w:rsidRPr="003245D7">
              <w:rPr>
                <w:color w:val="000000"/>
                <w:szCs w:val="22"/>
                <w:lang w:val="el-GR"/>
              </w:rPr>
              <w:t>Η προσφορά για κάθε σκεύασμα απαιτείται να περιέχει το πρωτόκολλο των διαδικασιών ελέγχου και αποδέσμευσης των παρτίδων, καθώς και αντίγραφα του συνοδευτικού φυλλαδίου οδηγιών και της περίληψης των χαρακτηριστικών του προϊόντος (</w:t>
            </w:r>
            <w:r w:rsidRPr="003245D7">
              <w:rPr>
                <w:color w:val="000000"/>
                <w:szCs w:val="22"/>
              </w:rPr>
              <w:t>SPC</w:t>
            </w:r>
            <w:r w:rsidRPr="003245D7">
              <w:rPr>
                <w:color w:val="000000"/>
                <w:szCs w:val="22"/>
                <w:lang w:val="el-GR"/>
              </w:rPr>
              <w:t>) στην αγγλική, ή σε επικυρωμένη μετάφραση στην ελληνική γλώσσα.</w:t>
            </w:r>
          </w:p>
        </w:tc>
        <w:tc>
          <w:tcPr>
            <w:tcW w:w="850" w:type="dxa"/>
            <w:shd w:val="clear" w:color="auto" w:fill="auto"/>
          </w:tcPr>
          <w:p w:rsidR="00521EB5" w:rsidRPr="003245D7" w:rsidRDefault="00521EB5" w:rsidP="00012E36">
            <w:pPr>
              <w:jc w:val="left"/>
              <w:rPr>
                <w:rFonts w:eastAsia="Calibri"/>
                <w:szCs w:val="22"/>
                <w:lang w:val="el-GR"/>
              </w:rPr>
            </w:pPr>
          </w:p>
        </w:tc>
        <w:tc>
          <w:tcPr>
            <w:tcW w:w="992" w:type="dxa"/>
            <w:shd w:val="clear" w:color="auto" w:fill="auto"/>
          </w:tcPr>
          <w:p w:rsidR="00521EB5" w:rsidRPr="003245D7" w:rsidRDefault="00521EB5" w:rsidP="00012E36">
            <w:pPr>
              <w:jc w:val="left"/>
              <w:rPr>
                <w:rFonts w:eastAsia="Calibri"/>
                <w:szCs w:val="22"/>
                <w:lang w:val="el-GR"/>
              </w:rPr>
            </w:pPr>
          </w:p>
        </w:tc>
        <w:tc>
          <w:tcPr>
            <w:tcW w:w="1701" w:type="dxa"/>
            <w:shd w:val="clear" w:color="auto" w:fill="auto"/>
          </w:tcPr>
          <w:p w:rsidR="00521EB5" w:rsidRPr="003245D7" w:rsidRDefault="00521EB5" w:rsidP="00012E36">
            <w:pPr>
              <w:jc w:val="left"/>
              <w:rPr>
                <w:rFonts w:eastAsia="Calibri"/>
                <w:szCs w:val="22"/>
                <w:lang w:val="el-GR"/>
              </w:rPr>
            </w:pPr>
          </w:p>
        </w:tc>
      </w:tr>
      <w:tr w:rsidR="00521EB5" w:rsidRPr="003245D7" w:rsidTr="00012E36">
        <w:tc>
          <w:tcPr>
            <w:tcW w:w="675" w:type="dxa"/>
            <w:shd w:val="clear" w:color="auto" w:fill="auto"/>
          </w:tcPr>
          <w:p w:rsidR="00521EB5" w:rsidRPr="003245D7" w:rsidRDefault="00521EB5" w:rsidP="00012E36">
            <w:pPr>
              <w:jc w:val="left"/>
              <w:rPr>
                <w:rFonts w:eastAsia="Calibri"/>
                <w:b/>
                <w:szCs w:val="22"/>
              </w:rPr>
            </w:pPr>
            <w:r w:rsidRPr="003245D7">
              <w:rPr>
                <w:rFonts w:eastAsia="Calibri"/>
                <w:b/>
                <w:szCs w:val="22"/>
              </w:rPr>
              <w:t>2</w:t>
            </w:r>
          </w:p>
        </w:tc>
        <w:tc>
          <w:tcPr>
            <w:tcW w:w="4962" w:type="dxa"/>
            <w:shd w:val="clear" w:color="auto" w:fill="auto"/>
          </w:tcPr>
          <w:p w:rsidR="00521EB5" w:rsidRPr="003245D7" w:rsidRDefault="00521EB5" w:rsidP="00012E36">
            <w:pPr>
              <w:spacing w:after="0"/>
              <w:jc w:val="left"/>
              <w:rPr>
                <w:rFonts w:eastAsia="Calibri"/>
                <w:lang w:val="el-GR"/>
              </w:rPr>
            </w:pPr>
            <w:r w:rsidRPr="003245D7">
              <w:rPr>
                <w:color w:val="000000"/>
                <w:szCs w:val="22"/>
                <w:lang w:val="el-GR"/>
              </w:rPr>
              <w:t xml:space="preserve"> Τα προσφερόμενα προϊόντα απαιτείται να έχουν άδεια κυκλοφορίας ή να έχουν κυκλοφορήσει στην Ε.Ε. ή σε τουλάχιστον ένα κράτος-μέλος. Για προϊόντα χωρίς υφιστάμενη άδεια κυκλοφορίας στην Ε.Ε. ή που δεν έχουν κυκλοφορήσει σε κάποιο κράτος-μέλος της Ε.Ε. απαιτείται προηγούμενη έγκριση έκτακτης εισαγωγής από τον Εθνικό Οργανισμό Φαρμάκων (Ε.Ο.Φ.).</w:t>
            </w:r>
          </w:p>
        </w:tc>
        <w:tc>
          <w:tcPr>
            <w:tcW w:w="850" w:type="dxa"/>
            <w:shd w:val="clear" w:color="auto" w:fill="auto"/>
          </w:tcPr>
          <w:p w:rsidR="00521EB5" w:rsidRPr="003245D7" w:rsidRDefault="00521EB5" w:rsidP="00012E36">
            <w:pPr>
              <w:jc w:val="left"/>
              <w:rPr>
                <w:rFonts w:eastAsia="Calibri"/>
                <w:szCs w:val="22"/>
                <w:lang w:val="el-GR"/>
              </w:rPr>
            </w:pPr>
          </w:p>
        </w:tc>
        <w:tc>
          <w:tcPr>
            <w:tcW w:w="992" w:type="dxa"/>
            <w:shd w:val="clear" w:color="auto" w:fill="auto"/>
          </w:tcPr>
          <w:p w:rsidR="00521EB5" w:rsidRPr="003245D7" w:rsidRDefault="00521EB5" w:rsidP="00012E36">
            <w:pPr>
              <w:jc w:val="left"/>
              <w:rPr>
                <w:rFonts w:eastAsia="Calibri"/>
                <w:szCs w:val="22"/>
                <w:lang w:val="el-GR"/>
              </w:rPr>
            </w:pPr>
          </w:p>
        </w:tc>
        <w:tc>
          <w:tcPr>
            <w:tcW w:w="1701" w:type="dxa"/>
            <w:shd w:val="clear" w:color="auto" w:fill="auto"/>
          </w:tcPr>
          <w:p w:rsidR="00521EB5" w:rsidRPr="003245D7" w:rsidRDefault="00521EB5" w:rsidP="00012E36">
            <w:pPr>
              <w:jc w:val="left"/>
              <w:rPr>
                <w:rFonts w:eastAsia="Calibri"/>
                <w:szCs w:val="22"/>
                <w:lang w:val="el-GR"/>
              </w:rPr>
            </w:pPr>
          </w:p>
        </w:tc>
      </w:tr>
      <w:tr w:rsidR="00521EB5" w:rsidRPr="003245D7" w:rsidTr="00012E36">
        <w:tc>
          <w:tcPr>
            <w:tcW w:w="675" w:type="dxa"/>
            <w:shd w:val="clear" w:color="auto" w:fill="auto"/>
          </w:tcPr>
          <w:p w:rsidR="00521EB5" w:rsidRPr="003245D7" w:rsidRDefault="00521EB5" w:rsidP="00012E36">
            <w:pPr>
              <w:jc w:val="left"/>
              <w:rPr>
                <w:rFonts w:eastAsia="Calibri"/>
                <w:b/>
                <w:szCs w:val="22"/>
              </w:rPr>
            </w:pPr>
            <w:r w:rsidRPr="003245D7">
              <w:rPr>
                <w:rFonts w:eastAsia="Calibri"/>
                <w:b/>
                <w:szCs w:val="22"/>
              </w:rPr>
              <w:lastRenderedPageBreak/>
              <w:t>3</w:t>
            </w:r>
          </w:p>
        </w:tc>
        <w:tc>
          <w:tcPr>
            <w:tcW w:w="4962" w:type="dxa"/>
            <w:shd w:val="clear" w:color="auto" w:fill="auto"/>
          </w:tcPr>
          <w:p w:rsidR="00521EB5" w:rsidRPr="003245D7" w:rsidRDefault="00521EB5" w:rsidP="00012E36">
            <w:pPr>
              <w:spacing w:after="0"/>
              <w:jc w:val="left"/>
              <w:rPr>
                <w:rFonts w:eastAsia="Calibri"/>
                <w:lang w:val="el-GR"/>
              </w:rPr>
            </w:pPr>
            <w:r w:rsidRPr="003245D7">
              <w:rPr>
                <w:color w:val="000000"/>
                <w:szCs w:val="22"/>
                <w:lang w:val="el-GR"/>
              </w:rPr>
              <w:t>Τα προσφερόμενα προϊόντα απαιτείται να συνοδεύονται από πιστοποιητικό που να βεβαιώνει ότι η παραγωγή/παρασκευή τους διενεργείται σε κατάλληλες εγκαταστάσεις και υπό κατάλληλες συνθήκες σύμφωνα με τους πλέον πρόσφατους Κανόνες Καλής Παραγωγής (</w:t>
            </w:r>
            <w:r w:rsidRPr="003245D7">
              <w:rPr>
                <w:color w:val="000000"/>
                <w:szCs w:val="22"/>
              </w:rPr>
              <w:t>cGMP</w:t>
            </w:r>
            <w:r w:rsidRPr="003245D7">
              <w:rPr>
                <w:color w:val="000000"/>
                <w:szCs w:val="22"/>
                <w:lang w:val="el-GR"/>
              </w:rPr>
              <w:t>).</w:t>
            </w:r>
          </w:p>
        </w:tc>
        <w:tc>
          <w:tcPr>
            <w:tcW w:w="850" w:type="dxa"/>
            <w:shd w:val="clear" w:color="auto" w:fill="auto"/>
          </w:tcPr>
          <w:p w:rsidR="00521EB5" w:rsidRPr="003245D7" w:rsidRDefault="00521EB5" w:rsidP="00012E36">
            <w:pPr>
              <w:jc w:val="left"/>
              <w:rPr>
                <w:rFonts w:eastAsia="Calibri"/>
                <w:szCs w:val="22"/>
                <w:lang w:val="el-GR"/>
              </w:rPr>
            </w:pPr>
          </w:p>
        </w:tc>
        <w:tc>
          <w:tcPr>
            <w:tcW w:w="992" w:type="dxa"/>
            <w:shd w:val="clear" w:color="auto" w:fill="auto"/>
          </w:tcPr>
          <w:p w:rsidR="00521EB5" w:rsidRPr="003245D7" w:rsidRDefault="00521EB5" w:rsidP="00012E36">
            <w:pPr>
              <w:jc w:val="left"/>
              <w:rPr>
                <w:rFonts w:eastAsia="Calibri"/>
                <w:szCs w:val="22"/>
                <w:lang w:val="el-GR"/>
              </w:rPr>
            </w:pPr>
          </w:p>
        </w:tc>
        <w:tc>
          <w:tcPr>
            <w:tcW w:w="1701" w:type="dxa"/>
            <w:shd w:val="clear" w:color="auto" w:fill="auto"/>
          </w:tcPr>
          <w:p w:rsidR="00521EB5" w:rsidRPr="003245D7" w:rsidRDefault="00521EB5" w:rsidP="00012E36">
            <w:pPr>
              <w:jc w:val="left"/>
              <w:rPr>
                <w:rFonts w:eastAsia="Calibri"/>
                <w:szCs w:val="22"/>
                <w:lang w:val="el-GR"/>
              </w:rPr>
            </w:pPr>
          </w:p>
        </w:tc>
      </w:tr>
      <w:tr w:rsidR="00521EB5" w:rsidRPr="003245D7" w:rsidTr="00012E36">
        <w:tc>
          <w:tcPr>
            <w:tcW w:w="675" w:type="dxa"/>
            <w:shd w:val="clear" w:color="auto" w:fill="auto"/>
          </w:tcPr>
          <w:p w:rsidR="00521EB5" w:rsidRPr="003245D7" w:rsidRDefault="00521EB5" w:rsidP="00012E36">
            <w:pPr>
              <w:jc w:val="left"/>
              <w:rPr>
                <w:rFonts w:eastAsia="Calibri"/>
                <w:b/>
                <w:szCs w:val="22"/>
              </w:rPr>
            </w:pPr>
            <w:r w:rsidRPr="003245D7">
              <w:rPr>
                <w:rFonts w:eastAsia="Calibri"/>
                <w:b/>
                <w:szCs w:val="22"/>
              </w:rPr>
              <w:t>4</w:t>
            </w:r>
          </w:p>
        </w:tc>
        <w:tc>
          <w:tcPr>
            <w:tcW w:w="4962" w:type="dxa"/>
            <w:shd w:val="clear" w:color="auto" w:fill="auto"/>
          </w:tcPr>
          <w:p w:rsidR="00521EB5" w:rsidRPr="003245D7" w:rsidRDefault="00521EB5" w:rsidP="00012E36">
            <w:pPr>
              <w:jc w:val="left"/>
              <w:rPr>
                <w:rFonts w:eastAsia="Calibri"/>
                <w:szCs w:val="22"/>
                <w:lang w:val="el-GR"/>
              </w:rPr>
            </w:pPr>
            <w:r w:rsidRPr="003245D7">
              <w:rPr>
                <w:color w:val="000000"/>
                <w:szCs w:val="22"/>
                <w:lang w:val="el-GR"/>
              </w:rPr>
              <w:t>Τα προσφερόμενα προϊόντα απαιτείται να φέρουν ταινία γνησιότητας</w:t>
            </w:r>
            <w:r w:rsidRPr="003245D7">
              <w:rPr>
                <w:rFonts w:eastAsia="Calibri"/>
                <w:szCs w:val="22"/>
                <w:lang w:val="el-GR"/>
              </w:rPr>
              <w:t>.</w:t>
            </w:r>
          </w:p>
        </w:tc>
        <w:tc>
          <w:tcPr>
            <w:tcW w:w="850" w:type="dxa"/>
            <w:shd w:val="clear" w:color="auto" w:fill="auto"/>
          </w:tcPr>
          <w:p w:rsidR="00521EB5" w:rsidRPr="003245D7" w:rsidRDefault="00521EB5" w:rsidP="00012E36">
            <w:pPr>
              <w:jc w:val="left"/>
              <w:rPr>
                <w:rFonts w:eastAsia="Calibri"/>
                <w:szCs w:val="22"/>
                <w:lang w:val="el-GR"/>
              </w:rPr>
            </w:pPr>
          </w:p>
        </w:tc>
        <w:tc>
          <w:tcPr>
            <w:tcW w:w="992" w:type="dxa"/>
            <w:shd w:val="clear" w:color="auto" w:fill="auto"/>
          </w:tcPr>
          <w:p w:rsidR="00521EB5" w:rsidRPr="003245D7" w:rsidRDefault="00521EB5" w:rsidP="00012E36">
            <w:pPr>
              <w:jc w:val="left"/>
              <w:rPr>
                <w:rFonts w:eastAsia="Calibri"/>
                <w:szCs w:val="22"/>
                <w:lang w:val="el-GR"/>
              </w:rPr>
            </w:pPr>
          </w:p>
        </w:tc>
        <w:tc>
          <w:tcPr>
            <w:tcW w:w="1701" w:type="dxa"/>
            <w:shd w:val="clear" w:color="auto" w:fill="auto"/>
          </w:tcPr>
          <w:p w:rsidR="00521EB5" w:rsidRPr="003245D7" w:rsidRDefault="00521EB5" w:rsidP="00012E36">
            <w:pPr>
              <w:jc w:val="left"/>
              <w:rPr>
                <w:rFonts w:eastAsia="Calibri"/>
                <w:szCs w:val="22"/>
                <w:lang w:val="el-GR"/>
              </w:rPr>
            </w:pPr>
          </w:p>
        </w:tc>
      </w:tr>
      <w:tr w:rsidR="00521EB5" w:rsidRPr="003245D7" w:rsidTr="00012E36">
        <w:tc>
          <w:tcPr>
            <w:tcW w:w="675" w:type="dxa"/>
            <w:shd w:val="clear" w:color="auto" w:fill="auto"/>
          </w:tcPr>
          <w:p w:rsidR="00521EB5" w:rsidRPr="003245D7" w:rsidRDefault="00521EB5" w:rsidP="00012E36">
            <w:pPr>
              <w:jc w:val="left"/>
              <w:rPr>
                <w:rFonts w:eastAsia="Calibri"/>
                <w:b/>
                <w:szCs w:val="22"/>
              </w:rPr>
            </w:pPr>
            <w:r w:rsidRPr="003245D7">
              <w:rPr>
                <w:rFonts w:eastAsia="Calibri"/>
                <w:b/>
                <w:szCs w:val="22"/>
              </w:rPr>
              <w:t>5</w:t>
            </w:r>
          </w:p>
        </w:tc>
        <w:tc>
          <w:tcPr>
            <w:tcW w:w="4962" w:type="dxa"/>
            <w:shd w:val="clear" w:color="auto" w:fill="auto"/>
          </w:tcPr>
          <w:p w:rsidR="00521EB5" w:rsidRPr="003245D7" w:rsidRDefault="00521EB5" w:rsidP="00012E36">
            <w:pPr>
              <w:spacing w:after="0"/>
              <w:jc w:val="left"/>
              <w:rPr>
                <w:rFonts w:eastAsia="Calibri"/>
                <w:lang w:val="el-GR"/>
              </w:rPr>
            </w:pPr>
            <w:r w:rsidRPr="003245D7">
              <w:rPr>
                <w:color w:val="000000"/>
                <w:szCs w:val="22"/>
                <w:lang w:val="el-GR"/>
              </w:rPr>
              <w:t>Η ημερομηνία λήξης των εμβολίων και των βιολογικών προϊόντων κατά την παράδοσή τους στις εγκαταστάσεις της Αναθέτουσας Αρχής δεν θα πρέπει να απέχει λιγότερο από δεκαοκτώ (18) έως 24 μήνες από την ημερομηνία παράδοσης.</w:t>
            </w:r>
          </w:p>
        </w:tc>
        <w:tc>
          <w:tcPr>
            <w:tcW w:w="850" w:type="dxa"/>
            <w:shd w:val="clear" w:color="auto" w:fill="auto"/>
          </w:tcPr>
          <w:p w:rsidR="00521EB5" w:rsidRPr="003245D7" w:rsidRDefault="00521EB5" w:rsidP="00012E36">
            <w:pPr>
              <w:jc w:val="left"/>
              <w:rPr>
                <w:rFonts w:eastAsia="Calibri"/>
                <w:szCs w:val="22"/>
                <w:lang w:val="el-GR"/>
              </w:rPr>
            </w:pPr>
          </w:p>
        </w:tc>
        <w:tc>
          <w:tcPr>
            <w:tcW w:w="992" w:type="dxa"/>
            <w:shd w:val="clear" w:color="auto" w:fill="auto"/>
          </w:tcPr>
          <w:p w:rsidR="00521EB5" w:rsidRPr="003245D7" w:rsidRDefault="00521EB5" w:rsidP="00012E36">
            <w:pPr>
              <w:jc w:val="left"/>
              <w:rPr>
                <w:rFonts w:eastAsia="Calibri"/>
                <w:szCs w:val="22"/>
                <w:lang w:val="el-GR"/>
              </w:rPr>
            </w:pPr>
          </w:p>
        </w:tc>
        <w:tc>
          <w:tcPr>
            <w:tcW w:w="1701" w:type="dxa"/>
            <w:shd w:val="clear" w:color="auto" w:fill="auto"/>
          </w:tcPr>
          <w:p w:rsidR="00521EB5" w:rsidRPr="003245D7" w:rsidRDefault="00521EB5" w:rsidP="00012E36">
            <w:pPr>
              <w:jc w:val="left"/>
              <w:rPr>
                <w:rFonts w:eastAsia="Calibri"/>
                <w:szCs w:val="22"/>
                <w:lang w:val="el-GR"/>
              </w:rPr>
            </w:pPr>
          </w:p>
        </w:tc>
      </w:tr>
      <w:tr w:rsidR="00521EB5" w:rsidRPr="003245D7" w:rsidTr="00012E36">
        <w:trPr>
          <w:trHeight w:val="3378"/>
        </w:trPr>
        <w:tc>
          <w:tcPr>
            <w:tcW w:w="675" w:type="dxa"/>
            <w:shd w:val="clear" w:color="auto" w:fill="auto"/>
          </w:tcPr>
          <w:p w:rsidR="00521EB5" w:rsidRPr="003245D7" w:rsidRDefault="00521EB5" w:rsidP="00012E36">
            <w:pPr>
              <w:jc w:val="left"/>
              <w:rPr>
                <w:rFonts w:eastAsia="Calibri"/>
                <w:b/>
                <w:szCs w:val="22"/>
              </w:rPr>
            </w:pPr>
            <w:r w:rsidRPr="003245D7">
              <w:rPr>
                <w:rFonts w:eastAsia="Calibri"/>
                <w:b/>
                <w:szCs w:val="22"/>
              </w:rPr>
              <w:t>6</w:t>
            </w:r>
          </w:p>
        </w:tc>
        <w:tc>
          <w:tcPr>
            <w:tcW w:w="4962" w:type="dxa"/>
            <w:shd w:val="clear" w:color="auto" w:fill="auto"/>
          </w:tcPr>
          <w:p w:rsidR="00521EB5" w:rsidRPr="003245D7" w:rsidRDefault="00521EB5" w:rsidP="00012E36">
            <w:pPr>
              <w:jc w:val="left"/>
              <w:rPr>
                <w:rFonts w:eastAsia="Calibri"/>
                <w:szCs w:val="22"/>
                <w:lang w:val="el-GR"/>
              </w:rPr>
            </w:pPr>
            <w:r w:rsidRPr="003245D7">
              <w:rPr>
                <w:color w:val="000000"/>
                <w:szCs w:val="22"/>
                <w:lang w:val="el-GR"/>
              </w:rPr>
              <w:t>Η εξωτερική συσκευασία των προϊόντων που απαιτούν ελεγχόμενη θερμοκρασία αποθήκευσης, θα πρέπει να φέρει δείκτες θερμοκρασίας, ώστε να μπορεί να πιστοποιείται ότι η κατάσταση και θερμοκρασία αποθήκευσης για τα προϊόντα αυτά έχει διατηρηθεί στις απαιτούμενες τιμές καθ’ όλη τη διάρκεια της αποστολής και παράδοσης των προϊόντων στην Αναθέτουσα Αρχή. Η Αναθέτουσα Αρχή διατηρεί το δικαίωμα να αρνηθεί την παραλαβή προϊόντων που δεν πληρούν την απαίτηση αυτή ή προϊόντων που τεκμηριωμένα εκτέθηκαν σε θερμοκρασίες εκτός προδιαγραφών.</w:t>
            </w:r>
          </w:p>
        </w:tc>
        <w:tc>
          <w:tcPr>
            <w:tcW w:w="850" w:type="dxa"/>
            <w:shd w:val="clear" w:color="auto" w:fill="auto"/>
          </w:tcPr>
          <w:p w:rsidR="00521EB5" w:rsidRPr="003245D7" w:rsidRDefault="00521EB5" w:rsidP="00012E36">
            <w:pPr>
              <w:jc w:val="left"/>
              <w:rPr>
                <w:rFonts w:eastAsia="Calibri"/>
                <w:szCs w:val="22"/>
                <w:lang w:val="el-GR"/>
              </w:rPr>
            </w:pPr>
          </w:p>
        </w:tc>
        <w:tc>
          <w:tcPr>
            <w:tcW w:w="992" w:type="dxa"/>
            <w:shd w:val="clear" w:color="auto" w:fill="auto"/>
          </w:tcPr>
          <w:p w:rsidR="00521EB5" w:rsidRPr="003245D7" w:rsidRDefault="00521EB5" w:rsidP="00012E36">
            <w:pPr>
              <w:jc w:val="left"/>
              <w:rPr>
                <w:rFonts w:eastAsia="Calibri"/>
                <w:szCs w:val="22"/>
                <w:lang w:val="el-GR"/>
              </w:rPr>
            </w:pPr>
          </w:p>
        </w:tc>
        <w:tc>
          <w:tcPr>
            <w:tcW w:w="1701" w:type="dxa"/>
            <w:shd w:val="clear" w:color="auto" w:fill="auto"/>
          </w:tcPr>
          <w:p w:rsidR="00521EB5" w:rsidRPr="003245D7" w:rsidRDefault="00521EB5" w:rsidP="00012E36">
            <w:pPr>
              <w:jc w:val="left"/>
              <w:rPr>
                <w:rFonts w:eastAsia="Calibri"/>
                <w:szCs w:val="22"/>
                <w:lang w:val="el-GR"/>
              </w:rPr>
            </w:pPr>
          </w:p>
        </w:tc>
      </w:tr>
      <w:tr w:rsidR="00521EB5" w:rsidRPr="003245D7" w:rsidTr="00012E36">
        <w:trPr>
          <w:trHeight w:val="866"/>
        </w:trPr>
        <w:tc>
          <w:tcPr>
            <w:tcW w:w="675" w:type="dxa"/>
            <w:tcBorders>
              <w:bottom w:val="single" w:sz="4" w:space="0" w:color="auto"/>
            </w:tcBorders>
            <w:shd w:val="clear" w:color="auto" w:fill="auto"/>
          </w:tcPr>
          <w:p w:rsidR="00521EB5" w:rsidRPr="003245D7" w:rsidRDefault="00521EB5" w:rsidP="00012E36">
            <w:pPr>
              <w:jc w:val="left"/>
              <w:rPr>
                <w:rFonts w:eastAsia="Calibri"/>
                <w:b/>
                <w:szCs w:val="22"/>
                <w:lang w:val="en-US"/>
              </w:rPr>
            </w:pPr>
            <w:r w:rsidRPr="003245D7">
              <w:rPr>
                <w:rFonts w:eastAsia="Calibri"/>
                <w:b/>
                <w:szCs w:val="22"/>
                <w:lang w:val="en-US"/>
              </w:rPr>
              <w:t>7</w:t>
            </w:r>
          </w:p>
        </w:tc>
        <w:tc>
          <w:tcPr>
            <w:tcW w:w="4962" w:type="dxa"/>
            <w:tcBorders>
              <w:bottom w:val="single" w:sz="4" w:space="0" w:color="auto"/>
            </w:tcBorders>
            <w:shd w:val="clear" w:color="auto" w:fill="auto"/>
          </w:tcPr>
          <w:p w:rsidR="00521EB5" w:rsidRPr="003245D7" w:rsidRDefault="00521EB5" w:rsidP="00012E36">
            <w:pPr>
              <w:spacing w:after="0"/>
              <w:jc w:val="left"/>
              <w:rPr>
                <w:rFonts w:eastAsia="Calibri"/>
                <w:lang w:val="el-GR"/>
              </w:rPr>
            </w:pPr>
            <w:r w:rsidRPr="003245D7">
              <w:rPr>
                <w:color w:val="000000"/>
                <w:szCs w:val="22"/>
                <w:lang w:val="el-GR"/>
              </w:rPr>
              <w:t xml:space="preserve">Απαιτείται να δηλώνεται η χώρα προέλευσης , το όνομα ή η εμπορική επωνυμία και διεύθυνση της παραγωγού εταιρείας </w:t>
            </w:r>
          </w:p>
        </w:tc>
        <w:tc>
          <w:tcPr>
            <w:tcW w:w="850" w:type="dxa"/>
            <w:tcBorders>
              <w:bottom w:val="single" w:sz="4" w:space="0" w:color="auto"/>
            </w:tcBorders>
            <w:shd w:val="clear" w:color="auto" w:fill="auto"/>
          </w:tcPr>
          <w:p w:rsidR="00521EB5" w:rsidRPr="003245D7" w:rsidRDefault="00521EB5" w:rsidP="00012E36">
            <w:pPr>
              <w:jc w:val="left"/>
              <w:rPr>
                <w:rFonts w:eastAsia="Calibri"/>
                <w:szCs w:val="22"/>
                <w:lang w:val="el-GR"/>
              </w:rPr>
            </w:pPr>
          </w:p>
        </w:tc>
        <w:tc>
          <w:tcPr>
            <w:tcW w:w="992" w:type="dxa"/>
            <w:tcBorders>
              <w:bottom w:val="single" w:sz="4" w:space="0" w:color="auto"/>
            </w:tcBorders>
            <w:shd w:val="clear" w:color="auto" w:fill="auto"/>
          </w:tcPr>
          <w:p w:rsidR="00521EB5" w:rsidRPr="003245D7" w:rsidRDefault="00521EB5" w:rsidP="00012E36">
            <w:pPr>
              <w:jc w:val="left"/>
              <w:rPr>
                <w:rFonts w:eastAsia="Calibri"/>
                <w:szCs w:val="22"/>
                <w:lang w:val="el-GR"/>
              </w:rPr>
            </w:pPr>
          </w:p>
        </w:tc>
        <w:tc>
          <w:tcPr>
            <w:tcW w:w="1701" w:type="dxa"/>
            <w:tcBorders>
              <w:bottom w:val="single" w:sz="4" w:space="0" w:color="auto"/>
            </w:tcBorders>
            <w:shd w:val="clear" w:color="auto" w:fill="auto"/>
          </w:tcPr>
          <w:p w:rsidR="00521EB5" w:rsidRPr="003245D7" w:rsidRDefault="00521EB5" w:rsidP="00012E36">
            <w:pPr>
              <w:jc w:val="left"/>
              <w:rPr>
                <w:rFonts w:eastAsia="Calibri"/>
                <w:szCs w:val="22"/>
                <w:lang w:val="el-GR"/>
              </w:rPr>
            </w:pPr>
          </w:p>
        </w:tc>
      </w:tr>
    </w:tbl>
    <w:p w:rsidR="00521EB5" w:rsidRPr="009E0ECE" w:rsidRDefault="00521EB5" w:rsidP="00521EB5">
      <w:pPr>
        <w:pStyle w:val="normalwithoutspacing"/>
        <w:spacing w:before="57" w:after="57"/>
        <w:rPr>
          <w:szCs w:val="22"/>
        </w:rPr>
      </w:pPr>
    </w:p>
    <w:p w:rsidR="00521EB5" w:rsidRDefault="00521EB5" w:rsidP="00521EB5">
      <w:pPr>
        <w:pStyle w:val="normalwithoutspacing"/>
        <w:spacing w:before="57" w:after="57"/>
        <w:rPr>
          <w:szCs w:val="22"/>
        </w:rPr>
      </w:pPr>
    </w:p>
    <w:p w:rsidR="00521EB5" w:rsidRDefault="00521EB5" w:rsidP="00521EB5">
      <w:pPr>
        <w:pStyle w:val="normalwithoutspacing"/>
        <w:spacing w:before="57" w:after="57"/>
        <w:rPr>
          <w:szCs w:val="22"/>
        </w:rPr>
      </w:pPr>
    </w:p>
    <w:p w:rsidR="00521EB5" w:rsidRDefault="00521EB5" w:rsidP="00521EB5">
      <w:pPr>
        <w:pStyle w:val="normalwithoutspacing"/>
        <w:spacing w:before="57" w:after="57"/>
        <w:rPr>
          <w:szCs w:val="22"/>
        </w:rPr>
      </w:pPr>
    </w:p>
    <w:p w:rsidR="00521EB5" w:rsidRPr="009E0ECE" w:rsidRDefault="00521EB5" w:rsidP="00521EB5">
      <w:pPr>
        <w:pStyle w:val="normalwithoutspacing"/>
        <w:spacing w:before="57" w:after="57"/>
        <w:rPr>
          <w:szCs w:val="22"/>
        </w:rPr>
      </w:pPr>
    </w:p>
    <w:p w:rsidR="00521EB5" w:rsidRPr="009E0ECE" w:rsidRDefault="00521EB5" w:rsidP="00521EB5">
      <w:pPr>
        <w:pStyle w:val="normalwithoutspacing"/>
        <w:spacing w:before="57" w:after="57"/>
        <w:rPr>
          <w:szCs w:val="22"/>
        </w:rPr>
      </w:pPr>
    </w:p>
    <w:p w:rsidR="00521EB5" w:rsidRDefault="00521EB5" w:rsidP="00521EB5">
      <w:pPr>
        <w:pStyle w:val="normalwithoutspacing"/>
        <w:spacing w:before="57" w:after="57"/>
        <w:rPr>
          <w:szCs w:val="22"/>
        </w:rPr>
      </w:pPr>
    </w:p>
    <w:p w:rsidR="00521EB5" w:rsidRDefault="00521EB5" w:rsidP="00521EB5">
      <w:pPr>
        <w:pStyle w:val="normalwithoutspacing"/>
        <w:spacing w:before="57" w:after="57"/>
        <w:rPr>
          <w:szCs w:val="22"/>
        </w:rPr>
      </w:pPr>
    </w:p>
    <w:p w:rsidR="00521EB5" w:rsidRDefault="00521EB5" w:rsidP="00521EB5">
      <w:pPr>
        <w:pStyle w:val="normalwithoutspacing"/>
        <w:spacing w:before="57" w:after="57"/>
        <w:rPr>
          <w:szCs w:val="22"/>
        </w:rPr>
      </w:pPr>
    </w:p>
    <w:p w:rsidR="00521EB5" w:rsidRDefault="00521EB5" w:rsidP="00521EB5">
      <w:pPr>
        <w:pStyle w:val="normalwithoutspacing"/>
        <w:spacing w:before="57" w:after="57"/>
        <w:rPr>
          <w:szCs w:val="22"/>
        </w:rPr>
      </w:pPr>
    </w:p>
    <w:p w:rsidR="00521EB5" w:rsidRDefault="00521EB5" w:rsidP="00521EB5">
      <w:pPr>
        <w:pStyle w:val="normalwithoutspacing"/>
        <w:spacing w:before="57" w:after="57"/>
        <w:rPr>
          <w:szCs w:val="22"/>
        </w:rPr>
      </w:pPr>
    </w:p>
    <w:p w:rsidR="00606AC5" w:rsidRPr="00521EB5" w:rsidRDefault="00606AC5">
      <w:pPr>
        <w:rPr>
          <w:lang w:val="el-GR"/>
        </w:rPr>
      </w:pPr>
      <w:bookmarkStart w:id="2" w:name="_GoBack"/>
      <w:bookmarkEnd w:id="2"/>
    </w:p>
    <w:sectPr w:rsidR="00606AC5" w:rsidRPr="00521E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EB5"/>
    <w:rsid w:val="00521EB5"/>
    <w:rsid w:val="00606A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993D9B-6181-4288-959D-4AD48CFED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EB5"/>
    <w:pPr>
      <w:suppressAutoHyphens/>
      <w:spacing w:after="120" w:line="240" w:lineRule="auto"/>
      <w:jc w:val="both"/>
    </w:pPr>
    <w:rPr>
      <w:rFonts w:ascii="Calibri" w:eastAsia="Times New Roman" w:hAnsi="Calibri" w:cs="Calibri"/>
      <w:szCs w:val="24"/>
      <w:lang w:eastAsia="zh-CN"/>
    </w:rPr>
  </w:style>
  <w:style w:type="paragraph" w:styleId="Heading1">
    <w:name w:val="heading 1"/>
    <w:basedOn w:val="Normal"/>
    <w:next w:val="Normal"/>
    <w:link w:val="Heading1Char"/>
    <w:uiPriority w:val="9"/>
    <w:qFormat/>
    <w:rsid w:val="00521EB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qFormat/>
    <w:rsid w:val="00521EB5"/>
    <w:pPr>
      <w:keepLines w:val="0"/>
      <w:pBdr>
        <w:top w:val="none" w:sz="0" w:space="0" w:color="000000"/>
        <w:left w:val="none" w:sz="0" w:space="0" w:color="000000"/>
        <w:bottom w:val="single" w:sz="12" w:space="1" w:color="000080"/>
        <w:right w:val="none" w:sz="0" w:space="0" w:color="000000"/>
      </w:pBdr>
      <w:tabs>
        <w:tab w:val="left" w:pos="567"/>
      </w:tabs>
      <w:spacing w:after="80"/>
      <w:ind w:left="567" w:hanging="567"/>
      <w:outlineLvl w:val="1"/>
    </w:pPr>
    <w:rPr>
      <w:rFonts w:ascii="Arial" w:eastAsia="Times New Roman" w:hAnsi="Arial" w:cs="Arial"/>
      <w:b/>
      <w:color w:val="00206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21EB5"/>
    <w:rPr>
      <w:rFonts w:ascii="Arial" w:eastAsia="Times New Roman" w:hAnsi="Arial" w:cs="Arial"/>
      <w:b/>
      <w:color w:val="002060"/>
      <w:sz w:val="24"/>
      <w:lang w:eastAsia="zh-CN"/>
    </w:rPr>
  </w:style>
  <w:style w:type="paragraph" w:customStyle="1" w:styleId="normalwithoutspacing">
    <w:name w:val="normal_without_spacing"/>
    <w:basedOn w:val="Normal"/>
    <w:rsid w:val="00521EB5"/>
    <w:pPr>
      <w:spacing w:after="60"/>
    </w:pPr>
    <w:rPr>
      <w:lang w:val="el-GR"/>
    </w:rPr>
  </w:style>
  <w:style w:type="character" w:customStyle="1" w:styleId="Heading1Char">
    <w:name w:val="Heading 1 Char"/>
    <w:basedOn w:val="DefaultParagraphFont"/>
    <w:link w:val="Heading1"/>
    <w:uiPriority w:val="9"/>
    <w:rsid w:val="00521EB5"/>
    <w:rPr>
      <w:rFonts w:asciiTheme="majorHAnsi" w:eastAsiaTheme="majorEastAsia" w:hAnsiTheme="majorHAnsi" w:cstheme="majorBidi"/>
      <w:color w:val="2E74B5" w:themeColor="accent1" w:themeShade="BF"/>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Aleka Chousakou</dc:creator>
  <cp:keywords/>
  <dc:description/>
  <cp:lastModifiedBy>Aleka Chousakou</cp:lastModifiedBy>
  <cp:revision>1</cp:revision>
  <dcterms:created xsi:type="dcterms:W3CDTF">2020-03-12T17:33:00Z</dcterms:created>
  <dcterms:modified xsi:type="dcterms:W3CDTF">2020-03-12T17:33:00Z</dcterms:modified>
</cp:coreProperties>
</file>