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4C7" w:rsidRPr="00C53907" w:rsidRDefault="00E944C7" w:rsidP="00E944C7">
      <w:pPr>
        <w:pStyle w:val="normalwithoutspacing"/>
        <w:rPr>
          <w:rFonts w:asciiTheme="minorHAnsi" w:hAnsiTheme="minorHAnsi"/>
          <w:b/>
          <w:szCs w:val="22"/>
          <w:u w:val="single"/>
        </w:rPr>
      </w:pPr>
      <w:bookmarkStart w:id="0" w:name="_GoBack"/>
      <w:bookmarkEnd w:id="0"/>
      <w:r w:rsidRPr="00C53907">
        <w:rPr>
          <w:rFonts w:asciiTheme="minorHAnsi" w:hAnsiTheme="minorHAnsi"/>
          <w:b/>
          <w:szCs w:val="22"/>
          <w:u w:val="single"/>
        </w:rPr>
        <w:t>ΦΥΛΛΟ ΣΥΜΜΟΡΦΩΣΗΣ</w:t>
      </w:r>
    </w:p>
    <w:p w:rsidR="00E944C7" w:rsidRPr="00C53907" w:rsidRDefault="00E944C7" w:rsidP="00E944C7">
      <w:pPr>
        <w:pStyle w:val="normalwithoutspacing"/>
        <w:rPr>
          <w:rFonts w:asciiTheme="minorHAnsi" w:hAnsiTheme="minorHAnsi"/>
          <w:szCs w:val="22"/>
        </w:rPr>
      </w:pPr>
    </w:p>
    <w:tbl>
      <w:tblPr>
        <w:tblpPr w:leftFromText="180" w:rightFromText="180" w:vertAnchor="text" w:tblpX="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5342"/>
        <w:gridCol w:w="1134"/>
        <w:gridCol w:w="1134"/>
        <w:gridCol w:w="1666"/>
      </w:tblGrid>
      <w:tr w:rsidR="00E944C7" w:rsidRPr="00DF0BB6" w:rsidTr="00AE0313">
        <w:trPr>
          <w:trHeight w:val="600"/>
        </w:trPr>
        <w:tc>
          <w:tcPr>
            <w:tcW w:w="578" w:type="dxa"/>
            <w:shd w:val="clear" w:color="auto" w:fill="auto"/>
            <w:noWrap/>
            <w:vAlign w:val="center"/>
            <w:hideMark/>
          </w:tcPr>
          <w:p w:rsidR="00E944C7" w:rsidRPr="00DF0BB6" w:rsidRDefault="00E944C7" w:rsidP="00AE0313">
            <w:pPr>
              <w:rPr>
                <w:rFonts w:eastAsia="Calibri"/>
                <w:b/>
                <w:bCs/>
              </w:rPr>
            </w:pPr>
            <w:r w:rsidRPr="00DF0BB6">
              <w:rPr>
                <w:rFonts w:eastAsia="Calibri"/>
                <w:b/>
                <w:bCs/>
              </w:rPr>
              <w:t>Α/Α</w:t>
            </w:r>
          </w:p>
        </w:tc>
        <w:tc>
          <w:tcPr>
            <w:tcW w:w="5342" w:type="dxa"/>
            <w:shd w:val="clear" w:color="auto" w:fill="auto"/>
            <w:noWrap/>
            <w:vAlign w:val="center"/>
            <w:hideMark/>
          </w:tcPr>
          <w:p w:rsidR="00E944C7" w:rsidRPr="00DF0BB6" w:rsidRDefault="00E944C7" w:rsidP="00AE0313">
            <w:pPr>
              <w:jc w:val="center"/>
              <w:rPr>
                <w:rFonts w:eastAsia="Calibri"/>
                <w:b/>
                <w:bCs/>
              </w:rPr>
            </w:pPr>
            <w:proofErr w:type="spellStart"/>
            <w:r w:rsidRPr="00DF0BB6">
              <w:rPr>
                <w:rFonts w:eastAsia="Calibri"/>
                <w:b/>
                <w:bCs/>
              </w:rPr>
              <w:t>Τεχνικά</w:t>
            </w:r>
            <w:proofErr w:type="spellEnd"/>
            <w:r w:rsidRPr="00DF0BB6">
              <w:rPr>
                <w:rFonts w:eastAsia="Calibri"/>
                <w:b/>
                <w:bCs/>
              </w:rPr>
              <w:t xml:space="preserve"> Χαρα</w:t>
            </w:r>
            <w:proofErr w:type="spellStart"/>
            <w:r w:rsidRPr="00DF0BB6">
              <w:rPr>
                <w:rFonts w:eastAsia="Calibri"/>
                <w:b/>
                <w:bCs/>
              </w:rPr>
              <w:t>κτηριστικά</w:t>
            </w:r>
            <w:proofErr w:type="spellEnd"/>
          </w:p>
        </w:tc>
        <w:tc>
          <w:tcPr>
            <w:tcW w:w="1134" w:type="dxa"/>
          </w:tcPr>
          <w:p w:rsidR="00E944C7" w:rsidRDefault="00E944C7" w:rsidP="00AE0313">
            <w:pPr>
              <w:jc w:val="center"/>
              <w:rPr>
                <w:rFonts w:eastAsia="Calibri"/>
                <w:b/>
                <w:bCs/>
                <w:lang w:val="el-GR"/>
              </w:rPr>
            </w:pPr>
          </w:p>
          <w:p w:rsidR="00E944C7" w:rsidRDefault="00E944C7" w:rsidP="00AE0313">
            <w:pPr>
              <w:jc w:val="center"/>
              <w:rPr>
                <w:rFonts w:eastAsia="Calibri"/>
                <w:b/>
                <w:bCs/>
                <w:lang w:val="el-GR"/>
              </w:rPr>
            </w:pPr>
            <w:r>
              <w:rPr>
                <w:rFonts w:eastAsia="Calibri"/>
                <w:b/>
                <w:bCs/>
                <w:lang w:val="el-GR"/>
              </w:rPr>
              <w:t>ΝΑΙ</w:t>
            </w:r>
          </w:p>
          <w:p w:rsidR="00E944C7" w:rsidRPr="00C8473F" w:rsidRDefault="00E944C7" w:rsidP="00AE0313">
            <w:pPr>
              <w:jc w:val="center"/>
              <w:rPr>
                <w:rFonts w:eastAsia="Calibri"/>
                <w:b/>
                <w:bCs/>
                <w:lang w:val="el-GR"/>
              </w:rPr>
            </w:pPr>
          </w:p>
        </w:tc>
        <w:tc>
          <w:tcPr>
            <w:tcW w:w="1134" w:type="dxa"/>
          </w:tcPr>
          <w:p w:rsidR="00E944C7" w:rsidRDefault="00E944C7" w:rsidP="00AE0313">
            <w:pPr>
              <w:jc w:val="center"/>
              <w:rPr>
                <w:rFonts w:eastAsia="Calibri"/>
                <w:b/>
                <w:bCs/>
              </w:rPr>
            </w:pPr>
          </w:p>
          <w:p w:rsidR="00E944C7" w:rsidRPr="00121C90" w:rsidRDefault="00E944C7" w:rsidP="00AE0313">
            <w:pPr>
              <w:jc w:val="center"/>
              <w:rPr>
                <w:rFonts w:eastAsia="Calibri"/>
                <w:b/>
                <w:bCs/>
                <w:lang w:val="el-GR"/>
              </w:rPr>
            </w:pPr>
            <w:r>
              <w:rPr>
                <w:rFonts w:eastAsia="Calibri"/>
                <w:b/>
                <w:bCs/>
                <w:lang w:val="el-GR"/>
              </w:rPr>
              <w:t>ΟΧΙ</w:t>
            </w:r>
          </w:p>
        </w:tc>
        <w:tc>
          <w:tcPr>
            <w:tcW w:w="1666" w:type="dxa"/>
          </w:tcPr>
          <w:p w:rsidR="00E944C7" w:rsidRDefault="00E944C7" w:rsidP="00AE0313">
            <w:pPr>
              <w:jc w:val="center"/>
              <w:rPr>
                <w:rFonts w:eastAsia="Calibri"/>
                <w:b/>
                <w:bCs/>
                <w:lang w:val="el-GR"/>
              </w:rPr>
            </w:pPr>
          </w:p>
          <w:p w:rsidR="00E944C7" w:rsidRDefault="00E944C7" w:rsidP="00AE0313">
            <w:pPr>
              <w:jc w:val="center"/>
              <w:rPr>
                <w:rFonts w:eastAsia="Calibri"/>
                <w:b/>
                <w:bCs/>
                <w:lang w:val="el-GR"/>
              </w:rPr>
            </w:pPr>
            <w:r>
              <w:rPr>
                <w:rFonts w:eastAsia="Calibri"/>
                <w:b/>
                <w:bCs/>
                <w:lang w:val="el-GR"/>
              </w:rPr>
              <w:t>ΠΑΡΑΠΟΜΠΗ</w:t>
            </w:r>
          </w:p>
          <w:p w:rsidR="00E944C7" w:rsidRPr="00121C90" w:rsidRDefault="00E944C7" w:rsidP="00AE0313">
            <w:pPr>
              <w:jc w:val="center"/>
              <w:rPr>
                <w:rFonts w:eastAsia="Calibri"/>
                <w:b/>
                <w:bCs/>
                <w:lang w:val="el-GR"/>
              </w:rPr>
            </w:pPr>
          </w:p>
        </w:tc>
      </w:tr>
      <w:tr w:rsidR="00E944C7" w:rsidRPr="00E944C7" w:rsidTr="00AE0313">
        <w:trPr>
          <w:trHeight w:val="70"/>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1</w:t>
            </w:r>
          </w:p>
        </w:tc>
        <w:tc>
          <w:tcPr>
            <w:tcW w:w="5342" w:type="dxa"/>
            <w:shd w:val="clear" w:color="auto" w:fill="auto"/>
            <w:vAlign w:val="center"/>
            <w:hideMark/>
          </w:tcPr>
          <w:p w:rsidR="00E944C7" w:rsidRPr="005963CA" w:rsidRDefault="00E944C7" w:rsidP="00AE0313">
            <w:pPr>
              <w:rPr>
                <w:rFonts w:cs="Arial"/>
                <w:lang w:val="el-GR"/>
              </w:rPr>
            </w:pPr>
            <w:r w:rsidRPr="005963CA">
              <w:rPr>
                <w:rFonts w:cs="Arial"/>
                <w:lang w:val="el-GR"/>
              </w:rPr>
              <w:t xml:space="preserve">Μέσο καλλιέργειας με καθορισμένη σύνθεση, χωρίς ορό, βελτιστοποιημένο για την καλλιέργεια και ανάπτυξη νευρικών προγονικών κυττάρων που προέρχονται από ανθρώπινα εμβρυικά βλαστικά και επαγόμενα πολυδύναμα βλαστικά κύτταρα. Τα νευρικά προγονικά κύτταρα που καλλιεργούνται σε αυτό το υλικό μπορούν να αυξηθούν σε αριθμό κατά 3-5 φορές σε κάθε πέρασμα και να καλλιεργηθούν για τουλάχιστον 10 περάσματα με ελάχιστη αυθόρμητη </w:t>
            </w:r>
            <w:proofErr w:type="spellStart"/>
            <w:r w:rsidRPr="005963CA">
              <w:rPr>
                <w:rFonts w:cs="Arial"/>
                <w:lang w:val="el-GR"/>
              </w:rPr>
              <w:t>νευρωνική</w:t>
            </w:r>
            <w:proofErr w:type="spellEnd"/>
            <w:r w:rsidRPr="005963CA">
              <w:rPr>
                <w:rFonts w:cs="Arial"/>
                <w:lang w:val="el-GR"/>
              </w:rPr>
              <w:t xml:space="preserve"> διαφοροποίηση. Να παρέχεται ως </w:t>
            </w:r>
            <w:proofErr w:type="spellStart"/>
            <w:r w:rsidRPr="005963CA">
              <w:rPr>
                <w:rFonts w:cs="Arial"/>
                <w:lang w:val="el-GR"/>
              </w:rPr>
              <w:t>κιτ</w:t>
            </w:r>
            <w:proofErr w:type="spellEnd"/>
            <w:r w:rsidRPr="005963CA">
              <w:rPr>
                <w:rFonts w:cs="Arial"/>
                <w:lang w:val="el-GR"/>
              </w:rPr>
              <w:t xml:space="preserve"> που περιλαμβάνει το βασικό υλικό σε συσκευασία 500 </w:t>
            </w:r>
            <w:r>
              <w:rPr>
                <w:rFonts w:cs="Arial"/>
              </w:rPr>
              <w:t>ml</w:t>
            </w:r>
            <w:r w:rsidRPr="005963CA">
              <w:rPr>
                <w:rFonts w:cs="Arial"/>
                <w:lang w:val="el-GR"/>
              </w:rPr>
              <w:t xml:space="preserve"> και δύο συμπληρώματα, ένα διάλυμα συγκέντρωσης 50</w:t>
            </w:r>
            <w:r>
              <w:rPr>
                <w:rFonts w:cs="Arial"/>
              </w:rPr>
              <w:t>X</w:t>
            </w:r>
            <w:r w:rsidRPr="005963CA">
              <w:rPr>
                <w:rFonts w:cs="Arial"/>
                <w:lang w:val="el-GR"/>
              </w:rPr>
              <w:t xml:space="preserve"> σε συσκευασία 10 </w:t>
            </w:r>
            <w:r>
              <w:rPr>
                <w:rFonts w:cs="Arial"/>
              </w:rPr>
              <w:t>ml</w:t>
            </w:r>
            <w:r w:rsidRPr="005963CA">
              <w:rPr>
                <w:rFonts w:cs="Arial"/>
                <w:lang w:val="el-GR"/>
              </w:rPr>
              <w:t xml:space="preserve"> και ένα διάλυμα συγκέντρωσης 1000</w:t>
            </w:r>
            <w:r>
              <w:rPr>
                <w:rFonts w:cs="Arial"/>
              </w:rPr>
              <w:t>X</w:t>
            </w:r>
            <w:r w:rsidRPr="005963CA">
              <w:rPr>
                <w:rFonts w:cs="Arial"/>
                <w:lang w:val="el-GR"/>
              </w:rPr>
              <w:t xml:space="preserve"> σε συσκευασία 500 µ</w:t>
            </w:r>
            <w:r>
              <w:rPr>
                <w:rFonts w:cs="Arial"/>
              </w:rPr>
              <w:t>L</w:t>
            </w:r>
            <w:r w:rsidRPr="005963CA">
              <w:rPr>
                <w:rFonts w:cs="Arial"/>
                <w:lang w:val="el-GR"/>
              </w:rPr>
              <w:t>.</w:t>
            </w:r>
          </w:p>
        </w:tc>
        <w:tc>
          <w:tcPr>
            <w:tcW w:w="1134" w:type="dxa"/>
          </w:tcPr>
          <w:p w:rsidR="00E944C7" w:rsidRPr="005963CA" w:rsidRDefault="00E944C7" w:rsidP="00AE0313">
            <w:pPr>
              <w:rPr>
                <w:rFonts w:cs="Arial"/>
                <w:lang w:val="el-GR"/>
              </w:rPr>
            </w:pPr>
          </w:p>
        </w:tc>
        <w:tc>
          <w:tcPr>
            <w:tcW w:w="1134" w:type="dxa"/>
          </w:tcPr>
          <w:p w:rsidR="00E944C7" w:rsidRDefault="00E944C7" w:rsidP="00AE0313">
            <w:pPr>
              <w:rPr>
                <w:rFonts w:cs="Arial"/>
                <w:lang w:val="el-GR"/>
              </w:rPr>
            </w:pPr>
          </w:p>
          <w:p w:rsidR="00E944C7" w:rsidRDefault="00E944C7" w:rsidP="00AE0313">
            <w:pPr>
              <w:rPr>
                <w:rFonts w:cs="Arial"/>
                <w:lang w:val="el-GR"/>
              </w:rPr>
            </w:pPr>
          </w:p>
          <w:p w:rsidR="00E944C7" w:rsidRDefault="00E944C7" w:rsidP="00AE0313">
            <w:pPr>
              <w:rPr>
                <w:rFonts w:cs="Arial"/>
                <w:lang w:val="el-GR"/>
              </w:rPr>
            </w:pPr>
          </w:p>
          <w:p w:rsidR="00E944C7" w:rsidRDefault="00E944C7" w:rsidP="00AE0313">
            <w:pPr>
              <w:rPr>
                <w:rFonts w:cs="Arial"/>
                <w:lang w:val="el-GR"/>
              </w:rPr>
            </w:pPr>
          </w:p>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60"/>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2</w:t>
            </w:r>
          </w:p>
        </w:tc>
        <w:tc>
          <w:tcPr>
            <w:tcW w:w="5342" w:type="dxa"/>
            <w:shd w:val="clear" w:color="auto" w:fill="auto"/>
            <w:vAlign w:val="center"/>
            <w:hideMark/>
          </w:tcPr>
          <w:p w:rsidR="00E944C7" w:rsidRDefault="00E944C7" w:rsidP="00AE0313">
            <w:pPr>
              <w:rPr>
                <w:rFonts w:cs="Arial"/>
              </w:rPr>
            </w:pPr>
            <w:r>
              <w:rPr>
                <w:rFonts w:cs="Arial"/>
              </w:rPr>
              <w:t>M</w:t>
            </w:r>
            <w:proofErr w:type="spellStart"/>
            <w:r w:rsidRPr="005963CA">
              <w:rPr>
                <w:rFonts w:cs="Arial"/>
                <w:lang w:val="el-GR"/>
              </w:rPr>
              <w:t>έσο</w:t>
            </w:r>
            <w:proofErr w:type="spellEnd"/>
            <w:r w:rsidRPr="005963CA">
              <w:rPr>
                <w:rFonts w:cs="Arial"/>
                <w:lang w:val="el-GR"/>
              </w:rPr>
              <w:t xml:space="preserve"> καλλιέργειας κυττάρων χωρίς υποστηρικτικά κύτταρα για τη διατήρηση ανθρώπινων εμβρυϊκών βλαστικών κυττάρων (</w:t>
            </w:r>
            <w:r>
              <w:rPr>
                <w:rFonts w:cs="Arial"/>
              </w:rPr>
              <w:t>ES</w:t>
            </w:r>
            <w:r w:rsidRPr="005963CA">
              <w:rPr>
                <w:rFonts w:cs="Arial"/>
                <w:lang w:val="el-GR"/>
              </w:rPr>
              <w:t xml:space="preserve"> κύτταρα) και επαγόμενων πολυδύναμων </w:t>
            </w:r>
            <w:proofErr w:type="spellStart"/>
            <w:r w:rsidRPr="005963CA">
              <w:rPr>
                <w:rFonts w:cs="Arial"/>
                <w:lang w:val="el-GR"/>
              </w:rPr>
              <w:t>βλαστοκυττάρων</w:t>
            </w:r>
            <w:proofErr w:type="spellEnd"/>
            <w:r w:rsidRPr="005963CA">
              <w:rPr>
                <w:rFonts w:cs="Arial"/>
                <w:lang w:val="el-GR"/>
              </w:rPr>
              <w:t xml:space="preserve"> (</w:t>
            </w:r>
            <w:proofErr w:type="spellStart"/>
            <w:r>
              <w:rPr>
                <w:rFonts w:cs="Arial"/>
              </w:rPr>
              <w:t>iPS</w:t>
            </w:r>
            <w:proofErr w:type="spellEnd"/>
            <w:r w:rsidRPr="005963CA">
              <w:rPr>
                <w:rFonts w:cs="Arial"/>
                <w:lang w:val="el-GR"/>
              </w:rPr>
              <w:t xml:space="preserve"> κύτταρα), με καθιερωμένα πρωτόκολλα για εφαρμογές που κυμαίνονται από την παραγωγή έως τη διαφοροποίηση. Να έχει κατασκευαστεί με </w:t>
            </w:r>
            <w:r>
              <w:rPr>
                <w:rFonts w:cs="Arial"/>
              </w:rPr>
              <w:t>cGMP</w:t>
            </w:r>
            <w:r w:rsidRPr="005963CA">
              <w:rPr>
                <w:rFonts w:cs="Arial"/>
                <w:lang w:val="el-GR"/>
              </w:rPr>
              <w:t xml:space="preserve"> διαδικασίες συμβατό με 21 </w:t>
            </w:r>
            <w:r>
              <w:rPr>
                <w:rFonts w:cs="Arial"/>
              </w:rPr>
              <w:t>CFR</w:t>
            </w:r>
            <w:r w:rsidRPr="005963CA">
              <w:rPr>
                <w:rFonts w:cs="Arial"/>
                <w:lang w:val="el-GR"/>
              </w:rPr>
              <w:t xml:space="preserve"> 820, που θα εξασφαλίζει την υψηλότερη ποιότητα και σταθερότητα για </w:t>
            </w:r>
            <w:proofErr w:type="spellStart"/>
            <w:r w:rsidRPr="005963CA">
              <w:rPr>
                <w:rFonts w:cs="Arial"/>
                <w:lang w:val="el-GR"/>
              </w:rPr>
              <w:t>επαναλήψιμα</w:t>
            </w:r>
            <w:proofErr w:type="spellEnd"/>
            <w:r w:rsidRPr="005963CA">
              <w:rPr>
                <w:rFonts w:cs="Arial"/>
                <w:lang w:val="el-GR"/>
              </w:rPr>
              <w:t xml:space="preserve"> αποτελέσματα. Να έχει χρησιμοποιηθεί για την επιτυχή διατήρηση κυτταρικών σειρών </w:t>
            </w:r>
            <w:r>
              <w:rPr>
                <w:rFonts w:cs="Arial"/>
              </w:rPr>
              <w:t>ES</w:t>
            </w:r>
            <w:r w:rsidRPr="005963CA">
              <w:rPr>
                <w:rFonts w:cs="Arial"/>
                <w:lang w:val="el-GR"/>
              </w:rPr>
              <w:t xml:space="preserve"> και </w:t>
            </w:r>
            <w:proofErr w:type="spellStart"/>
            <w:r>
              <w:rPr>
                <w:rFonts w:cs="Arial"/>
              </w:rPr>
              <w:t>iPS</w:t>
            </w:r>
            <w:proofErr w:type="spellEnd"/>
            <w:r w:rsidRPr="005963CA">
              <w:rPr>
                <w:rFonts w:cs="Arial"/>
                <w:lang w:val="el-GR"/>
              </w:rPr>
              <w:t xml:space="preserve"> κυττάρων. Με καθορισμένη σύνθεση, χωρίς ορό και να αποτελεί ένα πλήρες μέσο καλλιέργειας κυττάρων. Να αποτελείται από πρώτες ύλες που να έχουν εξεταστεί διεξοδικά και που να εξασφαλίζουν σταθερότητα από παρτίδα σε παρτίδα, να οδηγούν σε σταθερές καλλιέργειες με ομοιογενείς, αδιαφοροποίητους φαινοτύπους. Να περιέχει </w:t>
            </w:r>
            <w:proofErr w:type="spellStart"/>
            <w:r>
              <w:rPr>
                <w:rFonts w:cs="Arial"/>
              </w:rPr>
              <w:t>rh</w:t>
            </w:r>
            <w:proofErr w:type="spellEnd"/>
            <w:r w:rsidRPr="005963CA">
              <w:rPr>
                <w:rFonts w:cs="Arial"/>
                <w:lang w:val="el-GR"/>
              </w:rPr>
              <w:t xml:space="preserve"> </w:t>
            </w:r>
            <w:proofErr w:type="spellStart"/>
            <w:r>
              <w:rPr>
                <w:rFonts w:cs="Arial"/>
              </w:rPr>
              <w:t>bFGF</w:t>
            </w:r>
            <w:proofErr w:type="spellEnd"/>
            <w:r w:rsidRPr="005963CA">
              <w:rPr>
                <w:rFonts w:cs="Arial"/>
                <w:lang w:val="el-GR"/>
              </w:rPr>
              <w:t xml:space="preserve"> και </w:t>
            </w:r>
            <w:proofErr w:type="spellStart"/>
            <w:r>
              <w:rPr>
                <w:rFonts w:cs="Arial"/>
              </w:rPr>
              <w:t>rh</w:t>
            </w:r>
            <w:proofErr w:type="spellEnd"/>
            <w:r w:rsidRPr="005963CA">
              <w:rPr>
                <w:rFonts w:cs="Arial"/>
                <w:lang w:val="el-GR"/>
              </w:rPr>
              <w:t xml:space="preserve"> </w:t>
            </w:r>
            <w:r>
              <w:rPr>
                <w:rFonts w:cs="Arial"/>
              </w:rPr>
              <w:t>TGF</w:t>
            </w:r>
            <w:r w:rsidRPr="005963CA">
              <w:rPr>
                <w:rFonts w:cs="Arial"/>
                <w:lang w:val="el-GR"/>
              </w:rPr>
              <w:t xml:space="preserve">β και να μην απαιτείται η προσθήκη άλλων αυξητικών παραγόντων. </w:t>
            </w:r>
            <w:r>
              <w:rPr>
                <w:rFonts w:cs="Arial"/>
              </w:rPr>
              <w:t xml:space="preserve">Να </w:t>
            </w:r>
            <w:proofErr w:type="spellStart"/>
            <w:r>
              <w:rPr>
                <w:rFonts w:cs="Arial"/>
              </w:rPr>
              <w:t>είν</w:t>
            </w:r>
            <w:proofErr w:type="spellEnd"/>
            <w:r>
              <w:rPr>
                <w:rFonts w:cs="Arial"/>
              </w:rPr>
              <w:t xml:space="preserve">αι </w:t>
            </w:r>
            <w:proofErr w:type="spellStart"/>
            <w:r>
              <w:rPr>
                <w:rFonts w:cs="Arial"/>
              </w:rPr>
              <w:t>σε</w:t>
            </w:r>
            <w:proofErr w:type="spellEnd"/>
            <w:r>
              <w:rPr>
                <w:rFonts w:cs="Arial"/>
              </w:rPr>
              <w:t xml:space="preserve"> </w:t>
            </w:r>
            <w:proofErr w:type="spellStart"/>
            <w:r>
              <w:rPr>
                <w:rFonts w:cs="Arial"/>
              </w:rPr>
              <w:t>συσκευ</w:t>
            </w:r>
            <w:proofErr w:type="spellEnd"/>
            <w:r>
              <w:rPr>
                <w:rFonts w:cs="Arial"/>
              </w:rPr>
              <w:t xml:space="preserve">ασία </w:t>
            </w:r>
            <w:proofErr w:type="spellStart"/>
            <w:r>
              <w:rPr>
                <w:rFonts w:cs="Arial"/>
              </w:rPr>
              <w:t>των</w:t>
            </w:r>
            <w:proofErr w:type="spellEnd"/>
            <w:r>
              <w:rPr>
                <w:rFonts w:cs="Arial"/>
              </w:rPr>
              <w:t xml:space="preserve"> 500 ml.</w:t>
            </w:r>
          </w:p>
        </w:tc>
        <w:tc>
          <w:tcPr>
            <w:tcW w:w="1134" w:type="dxa"/>
          </w:tcPr>
          <w:p w:rsidR="00E944C7" w:rsidRDefault="00E944C7" w:rsidP="00AE0313">
            <w:pPr>
              <w:rPr>
                <w:rFonts w:cs="Arial"/>
              </w:rPr>
            </w:pPr>
          </w:p>
        </w:tc>
        <w:tc>
          <w:tcPr>
            <w:tcW w:w="1134" w:type="dxa"/>
          </w:tcPr>
          <w:p w:rsidR="00E944C7" w:rsidRDefault="00E944C7" w:rsidP="00AE0313">
            <w:pPr>
              <w:rPr>
                <w:rFonts w:cs="Arial"/>
              </w:rPr>
            </w:pPr>
          </w:p>
        </w:tc>
        <w:tc>
          <w:tcPr>
            <w:tcW w:w="1666" w:type="dxa"/>
          </w:tcPr>
          <w:p w:rsidR="00E944C7" w:rsidRDefault="00E944C7" w:rsidP="00AE0313">
            <w:pPr>
              <w:rPr>
                <w:rFonts w:cs="Arial"/>
              </w:rPr>
            </w:pPr>
          </w:p>
        </w:tc>
      </w:tr>
      <w:tr w:rsidR="00E944C7" w:rsidRPr="00DF0BB6" w:rsidTr="00AE0313">
        <w:trPr>
          <w:trHeight w:val="699"/>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3</w:t>
            </w:r>
          </w:p>
        </w:tc>
        <w:tc>
          <w:tcPr>
            <w:tcW w:w="5342" w:type="dxa"/>
            <w:shd w:val="clear" w:color="auto" w:fill="auto"/>
            <w:vAlign w:val="center"/>
            <w:hideMark/>
          </w:tcPr>
          <w:p w:rsidR="00E944C7" w:rsidRDefault="00E944C7" w:rsidP="00AE0313">
            <w:pPr>
              <w:rPr>
                <w:rFonts w:cs="Arial"/>
              </w:rPr>
            </w:pPr>
            <w:r w:rsidRPr="005963CA">
              <w:rPr>
                <w:rFonts w:cs="Arial"/>
                <w:lang w:val="el-GR"/>
              </w:rPr>
              <w:t xml:space="preserve">Στείρο, μη </w:t>
            </w:r>
            <w:proofErr w:type="spellStart"/>
            <w:r w:rsidRPr="005963CA">
              <w:rPr>
                <w:rFonts w:cs="Arial"/>
                <w:lang w:val="el-GR"/>
              </w:rPr>
              <w:t>ενζυμικό</w:t>
            </w:r>
            <w:proofErr w:type="spellEnd"/>
            <w:r w:rsidRPr="005963CA">
              <w:rPr>
                <w:rFonts w:cs="Arial"/>
                <w:lang w:val="el-GR"/>
              </w:rPr>
              <w:t xml:space="preserve"> αντιδραστήριο για το διαχωρισμό και το πέρασμα των ανθρώπινων πολυδύναμων βλαστικών κυττάρων ως συσσωματώματα, χωρίς χειροκίνητη επιλογή ή ξύσιμο. Το πέρασμα σε μορφή συσσωματωμάτων διευκολύνει την επέκταση της καλλιέργειας, εύκολα και γρήγορα. </w:t>
            </w:r>
            <w:proofErr w:type="spellStart"/>
            <w:r>
              <w:rPr>
                <w:rFonts w:cs="Arial"/>
              </w:rPr>
              <w:t>Συσκευ</w:t>
            </w:r>
            <w:proofErr w:type="spellEnd"/>
            <w:r>
              <w:rPr>
                <w:rFonts w:cs="Arial"/>
              </w:rPr>
              <w:t xml:space="preserve">ασία </w:t>
            </w:r>
            <w:proofErr w:type="spellStart"/>
            <w:r>
              <w:rPr>
                <w:rFonts w:cs="Arial"/>
              </w:rPr>
              <w:t>των</w:t>
            </w:r>
            <w:proofErr w:type="spellEnd"/>
            <w:r>
              <w:rPr>
                <w:rFonts w:cs="Arial"/>
              </w:rPr>
              <w:t xml:space="preserve"> 100 ml.</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1553"/>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lastRenderedPageBreak/>
              <w:t>4</w:t>
            </w:r>
          </w:p>
        </w:tc>
        <w:tc>
          <w:tcPr>
            <w:tcW w:w="5342" w:type="dxa"/>
            <w:shd w:val="clear" w:color="auto" w:fill="auto"/>
            <w:vAlign w:val="center"/>
            <w:hideMark/>
          </w:tcPr>
          <w:p w:rsidR="00E944C7" w:rsidRDefault="00E944C7" w:rsidP="00AE0313">
            <w:pPr>
              <w:rPr>
                <w:rFonts w:cs="Arial"/>
              </w:rPr>
            </w:pPr>
            <w:r w:rsidRPr="005963CA">
              <w:rPr>
                <w:rFonts w:cs="Arial"/>
                <w:lang w:val="el-GR"/>
              </w:rPr>
              <w:t xml:space="preserve">Υ-27632 </w:t>
            </w:r>
            <w:r>
              <w:rPr>
                <w:rFonts w:cs="Arial"/>
              </w:rPr>
              <w:t>dichloride</w:t>
            </w:r>
            <w:r w:rsidRPr="005963CA">
              <w:rPr>
                <w:rFonts w:cs="Arial"/>
                <w:lang w:val="el-GR"/>
              </w:rPr>
              <w:t xml:space="preserve"> σε σκόνη. Εκλεκτικός αναστολέας της </w:t>
            </w:r>
            <w:r>
              <w:rPr>
                <w:rFonts w:cs="Arial"/>
              </w:rPr>
              <w:t>p</w:t>
            </w:r>
            <w:r w:rsidRPr="005963CA">
              <w:rPr>
                <w:rFonts w:cs="Arial"/>
                <w:lang w:val="el-GR"/>
              </w:rPr>
              <w:t>160</w:t>
            </w:r>
            <w:r>
              <w:rPr>
                <w:rFonts w:cs="Arial"/>
              </w:rPr>
              <w:t>ROCK</w:t>
            </w:r>
            <w:r w:rsidRPr="005963CA">
              <w:rPr>
                <w:rFonts w:cs="Arial"/>
                <w:lang w:val="el-GR"/>
              </w:rPr>
              <w:t xml:space="preserve"> (οι τιμές </w:t>
            </w:r>
            <w:r>
              <w:rPr>
                <w:rFonts w:cs="Arial"/>
              </w:rPr>
              <w:t>Ki</w:t>
            </w:r>
            <w:r w:rsidRPr="005963CA">
              <w:rPr>
                <w:rFonts w:cs="Arial"/>
                <w:lang w:val="el-GR"/>
              </w:rPr>
              <w:t xml:space="preserve"> να είναι 0,14, 26, 25 και&gt; 250 </w:t>
            </w:r>
            <w:proofErr w:type="spellStart"/>
            <w:r w:rsidRPr="005963CA">
              <w:rPr>
                <w:rFonts w:cs="Arial"/>
                <w:lang w:val="el-GR"/>
              </w:rPr>
              <w:t>μΜ</w:t>
            </w:r>
            <w:proofErr w:type="spellEnd"/>
            <w:r w:rsidRPr="005963CA">
              <w:rPr>
                <w:rFonts w:cs="Arial"/>
                <w:lang w:val="el-GR"/>
              </w:rPr>
              <w:t xml:space="preserve"> για </w:t>
            </w:r>
            <w:r>
              <w:rPr>
                <w:rFonts w:cs="Arial"/>
              </w:rPr>
              <w:t>p</w:t>
            </w:r>
            <w:r w:rsidRPr="005963CA">
              <w:rPr>
                <w:rFonts w:cs="Arial"/>
                <w:lang w:val="el-GR"/>
              </w:rPr>
              <w:t>160</w:t>
            </w:r>
            <w:r>
              <w:rPr>
                <w:rFonts w:cs="Arial"/>
              </w:rPr>
              <w:t>ROCK</w:t>
            </w:r>
            <w:r w:rsidRPr="005963CA">
              <w:rPr>
                <w:rFonts w:cs="Arial"/>
                <w:lang w:val="el-GR"/>
              </w:rPr>
              <w:t xml:space="preserve">, </w:t>
            </w:r>
            <w:r>
              <w:rPr>
                <w:rFonts w:cs="Arial"/>
              </w:rPr>
              <w:t>PKC</w:t>
            </w:r>
            <w:r w:rsidRPr="005963CA">
              <w:rPr>
                <w:rFonts w:cs="Arial"/>
                <w:lang w:val="el-GR"/>
              </w:rPr>
              <w:t xml:space="preserve">, </w:t>
            </w:r>
            <w:r>
              <w:rPr>
                <w:rFonts w:cs="Arial"/>
              </w:rPr>
              <w:t>PKA</w:t>
            </w:r>
            <w:r w:rsidRPr="005963CA">
              <w:rPr>
                <w:rFonts w:cs="Arial"/>
                <w:lang w:val="el-GR"/>
              </w:rPr>
              <w:t xml:space="preserve"> και </w:t>
            </w:r>
            <w:r>
              <w:rPr>
                <w:rFonts w:cs="Arial"/>
              </w:rPr>
              <w:t>MLCK</w:t>
            </w:r>
            <w:r w:rsidRPr="005963CA">
              <w:rPr>
                <w:rFonts w:cs="Arial"/>
                <w:lang w:val="el-GR"/>
              </w:rPr>
              <w:t xml:space="preserve"> αντίστοιχα). Να αναστέλλει επίσης την </w:t>
            </w:r>
            <w:r>
              <w:rPr>
                <w:rFonts w:cs="Arial"/>
              </w:rPr>
              <w:t>PRK</w:t>
            </w:r>
            <w:r w:rsidRPr="005963CA">
              <w:rPr>
                <w:rFonts w:cs="Arial"/>
                <w:lang w:val="el-GR"/>
              </w:rPr>
              <w:t>2 (</w:t>
            </w:r>
            <w:r>
              <w:rPr>
                <w:rFonts w:cs="Arial"/>
              </w:rPr>
              <w:t>IC</w:t>
            </w:r>
            <w:r w:rsidRPr="005963CA">
              <w:rPr>
                <w:rFonts w:cs="Arial"/>
                <w:lang w:val="el-GR"/>
              </w:rPr>
              <w:t xml:space="preserve">50 = 600 </w:t>
            </w:r>
            <w:r>
              <w:rPr>
                <w:rFonts w:cs="Arial"/>
              </w:rPr>
              <w:t>n</w:t>
            </w:r>
            <w:r w:rsidRPr="005963CA">
              <w:rPr>
                <w:rFonts w:cs="Arial"/>
                <w:lang w:val="el-GR"/>
              </w:rPr>
              <w:t xml:space="preserve">Μ). Προβλεπόμενο μοριακό βάρος: 329.27. Ελάχιστης καθαρότητας 98%. Διαλυτότητας: 100 </w:t>
            </w:r>
            <w:r>
              <w:rPr>
                <w:rFonts w:cs="Arial"/>
              </w:rPr>
              <w:t>m</w:t>
            </w:r>
            <w:r w:rsidRPr="005963CA">
              <w:rPr>
                <w:rFonts w:cs="Arial"/>
                <w:lang w:val="el-GR"/>
              </w:rPr>
              <w:t xml:space="preserve">Μ σε νερό ή ρυθμιστικό διάλυμα φωσφορικών. </w:t>
            </w:r>
            <w:proofErr w:type="spellStart"/>
            <w:r>
              <w:rPr>
                <w:rFonts w:cs="Arial"/>
              </w:rPr>
              <w:t>Με</w:t>
            </w:r>
            <w:proofErr w:type="spellEnd"/>
            <w:r>
              <w:rPr>
                <w:rFonts w:cs="Arial"/>
              </w:rPr>
              <w:t xml:space="preserve"> π</w:t>
            </w:r>
            <w:proofErr w:type="spellStart"/>
            <w:r>
              <w:rPr>
                <w:rFonts w:cs="Arial"/>
              </w:rPr>
              <w:t>ιστο</w:t>
            </w:r>
            <w:proofErr w:type="spellEnd"/>
            <w:r>
              <w:rPr>
                <w:rFonts w:cs="Arial"/>
              </w:rPr>
              <w:t>ποιητικό α</w:t>
            </w:r>
            <w:proofErr w:type="spellStart"/>
            <w:r>
              <w:rPr>
                <w:rFonts w:cs="Arial"/>
              </w:rPr>
              <w:t>νάλυσης</w:t>
            </w:r>
            <w:proofErr w:type="spellEnd"/>
            <w:r>
              <w:rPr>
                <w:rFonts w:cs="Arial"/>
              </w:rPr>
              <w:t xml:space="preserve"> α</w:t>
            </w:r>
            <w:proofErr w:type="spellStart"/>
            <w:r>
              <w:rPr>
                <w:rFonts w:cs="Arial"/>
              </w:rPr>
              <w:t>νά</w:t>
            </w:r>
            <w:proofErr w:type="spellEnd"/>
            <w:r>
              <w:rPr>
                <w:rFonts w:cs="Arial"/>
              </w:rPr>
              <w:t xml:space="preserve"> πα</w:t>
            </w:r>
            <w:proofErr w:type="spellStart"/>
            <w:r>
              <w:rPr>
                <w:rFonts w:cs="Arial"/>
              </w:rPr>
              <w:t>ρτίδ</w:t>
            </w:r>
            <w:proofErr w:type="spellEnd"/>
            <w:r>
              <w:rPr>
                <w:rFonts w:cs="Arial"/>
              </w:rPr>
              <w:t xml:space="preserve">α. </w:t>
            </w:r>
            <w:proofErr w:type="spellStart"/>
            <w:r>
              <w:rPr>
                <w:rFonts w:cs="Arial"/>
              </w:rPr>
              <w:t>Συσκευ</w:t>
            </w:r>
            <w:proofErr w:type="spellEnd"/>
            <w:r>
              <w:rPr>
                <w:rFonts w:cs="Arial"/>
              </w:rPr>
              <w:t>ασία 10 mg.</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792B36" w:rsidTr="00AE0313">
        <w:trPr>
          <w:trHeight w:val="60"/>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5</w:t>
            </w:r>
          </w:p>
        </w:tc>
        <w:tc>
          <w:tcPr>
            <w:tcW w:w="5342" w:type="dxa"/>
            <w:shd w:val="clear" w:color="auto" w:fill="auto"/>
            <w:vAlign w:val="center"/>
            <w:hideMark/>
          </w:tcPr>
          <w:p w:rsidR="00E944C7" w:rsidRPr="00792B36" w:rsidRDefault="00E944C7" w:rsidP="00AE0313">
            <w:pPr>
              <w:rPr>
                <w:rFonts w:cs="Arial"/>
                <w:lang w:val="el-GR"/>
              </w:rPr>
            </w:pPr>
            <w:r w:rsidRPr="005963CA">
              <w:rPr>
                <w:rFonts w:cs="Arial"/>
                <w:lang w:val="el-GR"/>
              </w:rPr>
              <w:t xml:space="preserve">Συμπυκνωμένο διάλυμα καθορισμένης σύστασης για την αποφυγή χρήσης ορού ζώων, που χρησιμοποιείται για την καλλιέργεια εμβρυικών βλαστικών κυττάρων πριν τη διαφοροποίησή τους και επαγόμενων πολυδύναμων βλαστικών κυττάρων.  </w:t>
            </w:r>
            <w:r w:rsidRPr="00792B36">
              <w:rPr>
                <w:rFonts w:cs="Arial"/>
                <w:lang w:val="el-GR"/>
              </w:rPr>
              <w:t xml:space="preserve">Με πιστοποιητικό ανάλυσης ανά παρτίδα. Συσκευασία 100 </w:t>
            </w:r>
            <w:r>
              <w:rPr>
                <w:rFonts w:cs="Arial"/>
              </w:rPr>
              <w:t>ml</w:t>
            </w:r>
            <w:r w:rsidRPr="00792B36">
              <w:rPr>
                <w:rFonts w:cs="Arial"/>
                <w:lang w:val="el-GR"/>
              </w:rPr>
              <w:t>.</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E944C7" w:rsidTr="00AE0313">
        <w:trPr>
          <w:trHeight w:val="60"/>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6</w:t>
            </w:r>
          </w:p>
        </w:tc>
        <w:tc>
          <w:tcPr>
            <w:tcW w:w="5342" w:type="dxa"/>
            <w:shd w:val="clear" w:color="auto" w:fill="auto"/>
            <w:vAlign w:val="center"/>
            <w:hideMark/>
          </w:tcPr>
          <w:p w:rsidR="00E944C7" w:rsidRPr="005963CA" w:rsidRDefault="00E944C7" w:rsidP="00AE0313">
            <w:pPr>
              <w:rPr>
                <w:rFonts w:cs="Arial"/>
                <w:lang w:val="el-GR"/>
              </w:rPr>
            </w:pPr>
            <w:r w:rsidRPr="005963CA">
              <w:rPr>
                <w:rFonts w:cs="Arial"/>
                <w:lang w:val="el-GR"/>
              </w:rPr>
              <w:t xml:space="preserve">Στείρο θρεπτικό υλικό, βελτιστοποιημένο για την καλλιέργεια και ανάπτυξη των ανθρώπινων πολυδύναμων βλαστικών κυττάρων, με υψηλή συγκέντρωση γλυκόζης, ερυθρό της φαινόλης και χωρίς </w:t>
            </w:r>
            <w:r>
              <w:rPr>
                <w:rFonts w:cs="Arial"/>
              </w:rPr>
              <w:t>L</w:t>
            </w:r>
            <w:r w:rsidRPr="005963CA">
              <w:rPr>
                <w:rFonts w:cs="Arial"/>
                <w:lang w:val="el-GR"/>
              </w:rPr>
              <w:t>-</w:t>
            </w:r>
            <w:proofErr w:type="spellStart"/>
            <w:r w:rsidRPr="005963CA">
              <w:rPr>
                <w:rFonts w:cs="Arial"/>
                <w:lang w:val="el-GR"/>
              </w:rPr>
              <w:t>γλουταμίνη</w:t>
            </w:r>
            <w:proofErr w:type="spellEnd"/>
            <w:r w:rsidRPr="005963CA">
              <w:rPr>
                <w:rFonts w:cs="Arial"/>
                <w:lang w:val="el-GR"/>
              </w:rPr>
              <w:t xml:space="preserve">. Με άδεια </w:t>
            </w:r>
            <w:r>
              <w:rPr>
                <w:rFonts w:cs="Arial"/>
              </w:rPr>
              <w:t>RUO</w:t>
            </w:r>
            <w:r w:rsidRPr="005963CA">
              <w:rPr>
                <w:rFonts w:cs="Arial"/>
                <w:lang w:val="el-GR"/>
              </w:rPr>
              <w:t xml:space="preserve">. Με πιστοποιητικό ανάλυσης ανά παρτίδα. Συσκευασία 500 </w:t>
            </w:r>
            <w:r>
              <w:rPr>
                <w:rFonts w:cs="Arial"/>
              </w:rPr>
              <w:t>ml</w:t>
            </w:r>
            <w:r w:rsidRPr="005963CA">
              <w:rPr>
                <w:rFonts w:cs="Arial"/>
                <w:lang w:val="el-GR"/>
              </w:rPr>
              <w:t>.</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70"/>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7</w:t>
            </w:r>
          </w:p>
        </w:tc>
        <w:tc>
          <w:tcPr>
            <w:tcW w:w="5342" w:type="dxa"/>
            <w:shd w:val="clear" w:color="auto" w:fill="auto"/>
            <w:vAlign w:val="center"/>
            <w:hideMark/>
          </w:tcPr>
          <w:p w:rsidR="00E944C7" w:rsidRDefault="00E944C7" w:rsidP="00AE0313">
            <w:pPr>
              <w:rPr>
                <w:rFonts w:cs="Arial"/>
              </w:rPr>
            </w:pPr>
            <w:r w:rsidRPr="005963CA">
              <w:rPr>
                <w:rFonts w:cs="Arial"/>
                <w:lang w:val="el-GR"/>
              </w:rPr>
              <w:t xml:space="preserve">Συμπλήρωμα </w:t>
            </w:r>
            <w:proofErr w:type="spellStart"/>
            <w:r w:rsidRPr="005963CA">
              <w:rPr>
                <w:rFonts w:cs="Arial"/>
                <w:lang w:val="el-GR"/>
              </w:rPr>
              <w:t>νευρωνικής</w:t>
            </w:r>
            <w:proofErr w:type="spellEnd"/>
            <w:r w:rsidRPr="005963CA">
              <w:rPr>
                <w:rFonts w:cs="Arial"/>
                <w:lang w:val="el-GR"/>
              </w:rPr>
              <w:t xml:space="preserve"> καλλιέργειας τύπου </w:t>
            </w:r>
            <w:r>
              <w:rPr>
                <w:rFonts w:cs="Arial"/>
              </w:rPr>
              <w:t>B</w:t>
            </w:r>
            <w:r w:rsidRPr="005963CA">
              <w:rPr>
                <w:rFonts w:cs="Arial"/>
                <w:lang w:val="el-GR"/>
              </w:rPr>
              <w:t xml:space="preserve">-27 </w:t>
            </w:r>
            <w:r>
              <w:rPr>
                <w:rFonts w:cs="Arial"/>
              </w:rPr>
              <w:t>Plus</w:t>
            </w:r>
            <w:r w:rsidRPr="005963CA">
              <w:rPr>
                <w:rFonts w:cs="Arial"/>
                <w:lang w:val="el-GR"/>
              </w:rPr>
              <w:t xml:space="preserve">, βελτιστοποιημένης σύνθεσης , χωρίς ορό, που εξασφαλίζει υψηλό ποσοστό επιβίωσης πρωτογενών νευρώνων από τρωκτικά και ανθρώπινων νευρώνων που προέρχονται από βλαστικά κύτταρα, με βελτιωμένη </w:t>
            </w:r>
            <w:proofErr w:type="spellStart"/>
            <w:r w:rsidRPr="005963CA">
              <w:rPr>
                <w:rFonts w:cs="Arial"/>
                <w:lang w:val="el-GR"/>
              </w:rPr>
              <w:t>ηλεκτροφυσιολογική</w:t>
            </w:r>
            <w:proofErr w:type="spellEnd"/>
            <w:r w:rsidRPr="005963CA">
              <w:rPr>
                <w:rFonts w:cs="Arial"/>
                <w:lang w:val="el-GR"/>
              </w:rPr>
              <w:t xml:space="preserve"> δραστηριότητα και αυξημένη λειτουργική ωριμότητα έναντι άλλων μέσων καλλιέργειας </w:t>
            </w:r>
            <w:proofErr w:type="spellStart"/>
            <w:r w:rsidRPr="005963CA">
              <w:rPr>
                <w:rFonts w:cs="Arial"/>
                <w:lang w:val="el-GR"/>
              </w:rPr>
              <w:t>νευρωνικών</w:t>
            </w:r>
            <w:proofErr w:type="spellEnd"/>
            <w:r w:rsidRPr="005963CA">
              <w:rPr>
                <w:rFonts w:cs="Arial"/>
                <w:lang w:val="el-GR"/>
              </w:rPr>
              <w:t xml:space="preserve"> κυττάρων. Παρέχεται ως στείρο διάλυμα συγκέντρωσης 50</w:t>
            </w:r>
            <w:r>
              <w:rPr>
                <w:rFonts w:cs="Arial"/>
              </w:rPr>
              <w:t>X</w:t>
            </w:r>
            <w:r w:rsidRPr="005963CA">
              <w:rPr>
                <w:rFonts w:cs="Arial"/>
                <w:lang w:val="el-GR"/>
              </w:rPr>
              <w:t xml:space="preserve"> και προορίζεται για χρήση με θρεπτικό υλικό τύπου </w:t>
            </w:r>
            <w:proofErr w:type="spellStart"/>
            <w:r>
              <w:rPr>
                <w:rFonts w:cs="Arial"/>
              </w:rPr>
              <w:t>Neurobasal</w:t>
            </w:r>
            <w:proofErr w:type="spellEnd"/>
            <w:r w:rsidRPr="005963CA">
              <w:rPr>
                <w:rFonts w:cs="Arial"/>
                <w:lang w:val="el-GR"/>
              </w:rPr>
              <w:t xml:space="preserve">  για την καλλιέργεια </w:t>
            </w:r>
            <w:proofErr w:type="spellStart"/>
            <w:r w:rsidRPr="005963CA">
              <w:rPr>
                <w:rFonts w:cs="Arial"/>
                <w:lang w:val="el-GR"/>
              </w:rPr>
              <w:t>νευρωνικών</w:t>
            </w:r>
            <w:proofErr w:type="spellEnd"/>
            <w:r w:rsidRPr="005963CA">
              <w:rPr>
                <w:rFonts w:cs="Arial"/>
                <w:lang w:val="el-GR"/>
              </w:rPr>
              <w:t xml:space="preserve"> κυττάρων. </w:t>
            </w:r>
            <w:proofErr w:type="spellStart"/>
            <w:r>
              <w:rPr>
                <w:rFonts w:cs="Arial"/>
              </w:rPr>
              <w:t>Με</w:t>
            </w:r>
            <w:proofErr w:type="spellEnd"/>
            <w:r>
              <w:rPr>
                <w:rFonts w:cs="Arial"/>
              </w:rPr>
              <w:t xml:space="preserve"> π</w:t>
            </w:r>
            <w:proofErr w:type="spellStart"/>
            <w:r>
              <w:rPr>
                <w:rFonts w:cs="Arial"/>
              </w:rPr>
              <w:t>ιστο</w:t>
            </w:r>
            <w:proofErr w:type="spellEnd"/>
            <w:r>
              <w:rPr>
                <w:rFonts w:cs="Arial"/>
              </w:rPr>
              <w:t>ποιητικό α</w:t>
            </w:r>
            <w:proofErr w:type="spellStart"/>
            <w:r>
              <w:rPr>
                <w:rFonts w:cs="Arial"/>
              </w:rPr>
              <w:t>νάλυσης</w:t>
            </w:r>
            <w:proofErr w:type="spellEnd"/>
            <w:r>
              <w:rPr>
                <w:rFonts w:cs="Arial"/>
              </w:rPr>
              <w:t xml:space="preserve"> α</w:t>
            </w:r>
            <w:proofErr w:type="spellStart"/>
            <w:r>
              <w:rPr>
                <w:rFonts w:cs="Arial"/>
              </w:rPr>
              <w:t>νά</w:t>
            </w:r>
            <w:proofErr w:type="spellEnd"/>
            <w:r>
              <w:rPr>
                <w:rFonts w:cs="Arial"/>
              </w:rPr>
              <w:t xml:space="preserve"> πα</w:t>
            </w:r>
            <w:proofErr w:type="spellStart"/>
            <w:r>
              <w:rPr>
                <w:rFonts w:cs="Arial"/>
              </w:rPr>
              <w:t>ρτίδ</w:t>
            </w:r>
            <w:proofErr w:type="spellEnd"/>
            <w:r>
              <w:rPr>
                <w:rFonts w:cs="Arial"/>
              </w:rPr>
              <w:t xml:space="preserve">α. </w:t>
            </w:r>
            <w:proofErr w:type="spellStart"/>
            <w:r>
              <w:rPr>
                <w:rFonts w:cs="Arial"/>
              </w:rPr>
              <w:t>Συσκευ</w:t>
            </w:r>
            <w:proofErr w:type="spellEnd"/>
            <w:r>
              <w:rPr>
                <w:rFonts w:cs="Arial"/>
              </w:rPr>
              <w:t xml:space="preserve">ασία </w:t>
            </w:r>
            <w:proofErr w:type="spellStart"/>
            <w:r>
              <w:rPr>
                <w:rFonts w:cs="Arial"/>
              </w:rPr>
              <w:t>των</w:t>
            </w:r>
            <w:proofErr w:type="spellEnd"/>
            <w:r>
              <w:rPr>
                <w:rFonts w:cs="Arial"/>
              </w:rPr>
              <w:t xml:space="preserve"> 10 ml.</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2400"/>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8</w:t>
            </w:r>
          </w:p>
        </w:tc>
        <w:tc>
          <w:tcPr>
            <w:tcW w:w="5342" w:type="dxa"/>
            <w:shd w:val="clear" w:color="auto" w:fill="auto"/>
            <w:vAlign w:val="center"/>
            <w:hideMark/>
          </w:tcPr>
          <w:p w:rsidR="00E944C7" w:rsidRDefault="00E944C7" w:rsidP="00AE0313">
            <w:pPr>
              <w:rPr>
                <w:rFonts w:cs="Arial"/>
              </w:rPr>
            </w:pPr>
            <w:r w:rsidRPr="005963CA">
              <w:rPr>
                <w:rFonts w:cs="Arial"/>
                <w:lang w:val="el-GR"/>
              </w:rPr>
              <w:t xml:space="preserve">Συμπλήρωμα βασισμένο στο σκεύασμα  του </w:t>
            </w:r>
            <w:proofErr w:type="spellStart"/>
            <w:r>
              <w:rPr>
                <w:rFonts w:cs="Arial"/>
              </w:rPr>
              <w:t>Bottenstein</w:t>
            </w:r>
            <w:proofErr w:type="spellEnd"/>
            <w:r w:rsidRPr="005963CA">
              <w:rPr>
                <w:rFonts w:cs="Arial"/>
                <w:lang w:val="el-GR"/>
              </w:rPr>
              <w:t xml:space="preserve"> με καθορισμένη χημική σύσταση,  χωρίς ορό, βελτιστοποιημένο για την καλλιέργεια νευρικών βλαστικών κυττάρων, τη διαφοροποίηση νευρικών προγονικών κυττάρων, καθώς και την ωρίμανση και διατήρηση ποικίλων διαφοροποιημένων </w:t>
            </w:r>
            <w:proofErr w:type="spellStart"/>
            <w:r w:rsidRPr="005963CA">
              <w:rPr>
                <w:rFonts w:cs="Arial"/>
                <w:lang w:val="el-GR"/>
              </w:rPr>
              <w:t>νευρωνικών</w:t>
            </w:r>
            <w:proofErr w:type="spellEnd"/>
            <w:r w:rsidRPr="005963CA">
              <w:rPr>
                <w:rFonts w:cs="Arial"/>
                <w:lang w:val="el-GR"/>
              </w:rPr>
              <w:t xml:space="preserve"> κυτταρικών τύπων. Να περιέχει ινσουλίνη βοοειδών, ανθρώπινη </w:t>
            </w:r>
            <w:proofErr w:type="spellStart"/>
            <w:r w:rsidRPr="005963CA">
              <w:rPr>
                <w:rFonts w:cs="Arial"/>
                <w:lang w:val="el-GR"/>
              </w:rPr>
              <w:t>τρανσφερίνη</w:t>
            </w:r>
            <w:proofErr w:type="spellEnd"/>
            <w:r w:rsidRPr="005963CA">
              <w:rPr>
                <w:rFonts w:cs="Arial"/>
                <w:lang w:val="el-GR"/>
              </w:rPr>
              <w:t xml:space="preserve">, </w:t>
            </w:r>
            <w:proofErr w:type="spellStart"/>
            <w:r w:rsidRPr="005963CA">
              <w:rPr>
                <w:rFonts w:cs="Arial"/>
                <w:lang w:val="el-GR"/>
              </w:rPr>
              <w:t>πουτρεσκίνη</w:t>
            </w:r>
            <w:proofErr w:type="spellEnd"/>
            <w:r w:rsidRPr="005963CA">
              <w:rPr>
                <w:rFonts w:cs="Arial"/>
                <w:lang w:val="el-GR"/>
              </w:rPr>
              <w:t xml:space="preserve">, προγεστερόνη και </w:t>
            </w:r>
            <w:r>
              <w:rPr>
                <w:rFonts w:cs="Arial"/>
              </w:rPr>
              <w:t>selenite</w:t>
            </w:r>
            <w:r w:rsidRPr="005963CA">
              <w:rPr>
                <w:rFonts w:cs="Arial"/>
                <w:lang w:val="el-GR"/>
              </w:rPr>
              <w:t xml:space="preserve">. Να μπορεί να χρησιμοποιηθεί ως υποκατάστατο του συμπληρώματος τύπου </w:t>
            </w:r>
            <w:r>
              <w:rPr>
                <w:rFonts w:cs="Arial"/>
              </w:rPr>
              <w:t>N</w:t>
            </w:r>
            <w:r w:rsidRPr="005963CA">
              <w:rPr>
                <w:rFonts w:cs="Arial"/>
                <w:lang w:val="el-GR"/>
              </w:rPr>
              <w:t>-2. Παρέχεται ως στείρο διάλυμα συγκέντρωσης 100</w:t>
            </w:r>
            <w:r>
              <w:rPr>
                <w:rFonts w:cs="Arial"/>
              </w:rPr>
              <w:t>X</w:t>
            </w:r>
            <w:r w:rsidRPr="005963CA">
              <w:rPr>
                <w:rFonts w:cs="Arial"/>
                <w:lang w:val="el-GR"/>
              </w:rPr>
              <w:t xml:space="preserve">. Με πιστοποιητικό ανάλυσης ανά παρτίδα. </w:t>
            </w:r>
            <w:proofErr w:type="spellStart"/>
            <w:r>
              <w:rPr>
                <w:rFonts w:cs="Arial"/>
              </w:rPr>
              <w:t>Συσκευ</w:t>
            </w:r>
            <w:proofErr w:type="spellEnd"/>
            <w:r>
              <w:rPr>
                <w:rFonts w:cs="Arial"/>
              </w:rPr>
              <w:t xml:space="preserve">ασία </w:t>
            </w:r>
            <w:proofErr w:type="spellStart"/>
            <w:r>
              <w:rPr>
                <w:rFonts w:cs="Arial"/>
              </w:rPr>
              <w:t>των</w:t>
            </w:r>
            <w:proofErr w:type="spellEnd"/>
            <w:r>
              <w:rPr>
                <w:rFonts w:cs="Arial"/>
              </w:rPr>
              <w:t xml:space="preserve"> 5 ml.</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128"/>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9</w:t>
            </w:r>
          </w:p>
        </w:tc>
        <w:tc>
          <w:tcPr>
            <w:tcW w:w="5342" w:type="dxa"/>
            <w:shd w:val="clear" w:color="auto" w:fill="auto"/>
            <w:vAlign w:val="center"/>
            <w:hideMark/>
          </w:tcPr>
          <w:p w:rsidR="00E944C7" w:rsidRDefault="00E944C7" w:rsidP="00AE0313">
            <w:pPr>
              <w:rPr>
                <w:rFonts w:cs="Arial"/>
              </w:rPr>
            </w:pPr>
            <w:r w:rsidRPr="005963CA">
              <w:rPr>
                <w:rFonts w:cs="Arial"/>
                <w:lang w:val="el-GR"/>
              </w:rPr>
              <w:t xml:space="preserve">Εμβρυικοί </w:t>
            </w:r>
            <w:proofErr w:type="spellStart"/>
            <w:r w:rsidRPr="005963CA">
              <w:rPr>
                <w:rFonts w:cs="Arial"/>
                <w:lang w:val="el-GR"/>
              </w:rPr>
              <w:t>ινοβλάστες</w:t>
            </w:r>
            <w:proofErr w:type="spellEnd"/>
            <w:r w:rsidRPr="005963CA">
              <w:rPr>
                <w:rFonts w:cs="Arial"/>
                <w:lang w:val="el-GR"/>
              </w:rPr>
              <w:t xml:space="preserve"> ποντικού ιδανικοί για την υποστήριξη/διατήρηση υγιών αδιαφοροποίητων ποντικίσιων και ανθρώπινων πολυδύναμων κυττάρων σε καλλιέργεια. Πρέπει να είναι </w:t>
            </w:r>
            <w:proofErr w:type="spellStart"/>
            <w:r w:rsidRPr="005963CA">
              <w:rPr>
                <w:rFonts w:cs="Arial"/>
                <w:lang w:val="el-GR"/>
              </w:rPr>
              <w:t>μιτωτικά</w:t>
            </w:r>
            <w:proofErr w:type="spellEnd"/>
            <w:r w:rsidRPr="005963CA">
              <w:rPr>
                <w:rFonts w:cs="Arial"/>
                <w:lang w:val="el-GR"/>
              </w:rPr>
              <w:t xml:space="preserve"> ανενεργοί με </w:t>
            </w:r>
            <w:r w:rsidRPr="005963CA">
              <w:rPr>
                <w:rFonts w:cs="Arial"/>
                <w:lang w:val="el-GR"/>
              </w:rPr>
              <w:lastRenderedPageBreak/>
              <w:t xml:space="preserve">ακτινοβολία και να μην πολλαπλασιάζονται. Να έχουν ελεγχθεί για τη διατήρηση αδιαφοροποίητων πολυδύναμων κυττάρων ποντικού και ανθρώπου, για παθογόνα ποντικών, για στείρες συνθήκες, </w:t>
            </w:r>
            <w:proofErr w:type="spellStart"/>
            <w:r w:rsidRPr="005963CA">
              <w:rPr>
                <w:rFonts w:cs="Arial"/>
                <w:lang w:val="el-GR"/>
              </w:rPr>
              <w:t>μυκόπλασμα</w:t>
            </w:r>
            <w:proofErr w:type="spellEnd"/>
            <w:r w:rsidRPr="005963CA">
              <w:rPr>
                <w:rFonts w:cs="Arial"/>
                <w:lang w:val="el-GR"/>
              </w:rPr>
              <w:t xml:space="preserve"> και επιβίωση μετά από πάγωμα. </w:t>
            </w:r>
            <w:proofErr w:type="spellStart"/>
            <w:r>
              <w:rPr>
                <w:rFonts w:cs="Arial"/>
              </w:rPr>
              <w:t>Με</w:t>
            </w:r>
            <w:proofErr w:type="spellEnd"/>
            <w:r>
              <w:rPr>
                <w:rFonts w:cs="Arial"/>
              </w:rPr>
              <w:t xml:space="preserve"> π</w:t>
            </w:r>
            <w:proofErr w:type="spellStart"/>
            <w:r>
              <w:rPr>
                <w:rFonts w:cs="Arial"/>
              </w:rPr>
              <w:t>ιστο</w:t>
            </w:r>
            <w:proofErr w:type="spellEnd"/>
            <w:r>
              <w:rPr>
                <w:rFonts w:cs="Arial"/>
              </w:rPr>
              <w:t>ποιητικό α</w:t>
            </w:r>
            <w:proofErr w:type="spellStart"/>
            <w:r>
              <w:rPr>
                <w:rFonts w:cs="Arial"/>
              </w:rPr>
              <w:t>νάλυσης</w:t>
            </w:r>
            <w:proofErr w:type="spellEnd"/>
            <w:r>
              <w:rPr>
                <w:rFonts w:cs="Arial"/>
              </w:rPr>
              <w:t xml:space="preserve"> α</w:t>
            </w:r>
            <w:proofErr w:type="spellStart"/>
            <w:r>
              <w:rPr>
                <w:rFonts w:cs="Arial"/>
              </w:rPr>
              <w:t>νά</w:t>
            </w:r>
            <w:proofErr w:type="spellEnd"/>
            <w:r>
              <w:rPr>
                <w:rFonts w:cs="Arial"/>
              </w:rPr>
              <w:t xml:space="preserve"> πα</w:t>
            </w:r>
            <w:proofErr w:type="spellStart"/>
            <w:r>
              <w:rPr>
                <w:rFonts w:cs="Arial"/>
              </w:rPr>
              <w:t>ρτίδ</w:t>
            </w:r>
            <w:proofErr w:type="spellEnd"/>
            <w:r>
              <w:rPr>
                <w:rFonts w:cs="Arial"/>
              </w:rPr>
              <w:t xml:space="preserve">α. </w:t>
            </w:r>
            <w:proofErr w:type="spellStart"/>
            <w:r>
              <w:rPr>
                <w:rFonts w:cs="Arial"/>
              </w:rPr>
              <w:t>Συσκευ</w:t>
            </w:r>
            <w:proofErr w:type="spellEnd"/>
            <w:r>
              <w:rPr>
                <w:rFonts w:cs="Arial"/>
              </w:rPr>
              <w:t xml:space="preserve">ασία 2 </w:t>
            </w:r>
            <w:proofErr w:type="spellStart"/>
            <w:r>
              <w:rPr>
                <w:rFonts w:cs="Arial"/>
              </w:rPr>
              <w:t>εκ</w:t>
            </w:r>
            <w:proofErr w:type="spellEnd"/>
            <w:r>
              <w:rPr>
                <w:rFonts w:cs="Arial"/>
              </w:rPr>
              <w:t xml:space="preserve">ατομμύρια </w:t>
            </w:r>
            <w:proofErr w:type="spellStart"/>
            <w:r>
              <w:rPr>
                <w:rFonts w:cs="Arial"/>
              </w:rPr>
              <w:t>κύττ</w:t>
            </w:r>
            <w:proofErr w:type="spellEnd"/>
            <w:r>
              <w:rPr>
                <w:rFonts w:cs="Arial"/>
              </w:rPr>
              <w:t>αρα/φιαλίδιο.</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2830"/>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lastRenderedPageBreak/>
              <w:t>10</w:t>
            </w:r>
          </w:p>
        </w:tc>
        <w:tc>
          <w:tcPr>
            <w:tcW w:w="5342" w:type="dxa"/>
            <w:shd w:val="clear" w:color="auto" w:fill="auto"/>
            <w:vAlign w:val="center"/>
            <w:hideMark/>
          </w:tcPr>
          <w:p w:rsidR="00E944C7" w:rsidRDefault="00E944C7" w:rsidP="00AE0313">
            <w:pPr>
              <w:rPr>
                <w:rFonts w:cs="Arial"/>
              </w:rPr>
            </w:pPr>
            <w:proofErr w:type="spellStart"/>
            <w:r w:rsidRPr="005963CA">
              <w:rPr>
                <w:rFonts w:cs="Arial"/>
                <w:lang w:val="el-GR"/>
              </w:rPr>
              <w:t>Λαμινίνη</w:t>
            </w:r>
            <w:proofErr w:type="spellEnd"/>
            <w:r w:rsidRPr="005963CA">
              <w:rPr>
                <w:rFonts w:cs="Arial"/>
                <w:lang w:val="el-GR"/>
              </w:rPr>
              <w:t xml:space="preserve"> στη φυσική της μορφή, απομονωμένη από σάρκωμα </w:t>
            </w:r>
            <w:proofErr w:type="spellStart"/>
            <w:r>
              <w:rPr>
                <w:rFonts w:cs="Arial"/>
              </w:rPr>
              <w:t>Engelbreth</w:t>
            </w:r>
            <w:proofErr w:type="spellEnd"/>
            <w:r w:rsidRPr="005963CA">
              <w:rPr>
                <w:rFonts w:cs="Arial"/>
                <w:lang w:val="el-GR"/>
              </w:rPr>
              <w:t>-</w:t>
            </w:r>
            <w:r>
              <w:rPr>
                <w:rFonts w:cs="Arial"/>
              </w:rPr>
              <w:t>Holm</w:t>
            </w:r>
            <w:r w:rsidRPr="005963CA">
              <w:rPr>
                <w:rFonts w:cs="Arial"/>
                <w:lang w:val="el-GR"/>
              </w:rPr>
              <w:t>-</w:t>
            </w:r>
            <w:r>
              <w:rPr>
                <w:rFonts w:cs="Arial"/>
              </w:rPr>
              <w:t>Swarm</w:t>
            </w:r>
            <w:r w:rsidRPr="005963CA">
              <w:rPr>
                <w:rFonts w:cs="Arial"/>
                <w:lang w:val="el-GR"/>
              </w:rPr>
              <w:t xml:space="preserve"> ποντικού, για να χρησιμοποιηθεί ως υπόστρωμα καλλιέργειας κυττάρων θηλαστικών. Πρέπει να είναι αποστειρωμένη (μέσω φιλτραρίσματος) και αποδεδειγμένα κατάλληλη για </w:t>
            </w:r>
            <w:proofErr w:type="spellStart"/>
            <w:r w:rsidRPr="005963CA">
              <w:rPr>
                <w:rFonts w:cs="Arial"/>
                <w:lang w:val="el-GR"/>
              </w:rPr>
              <w:t>κυτταροκαλλιέργεια</w:t>
            </w:r>
            <w:proofErr w:type="spellEnd"/>
            <w:r w:rsidRPr="005963CA">
              <w:rPr>
                <w:rFonts w:cs="Arial"/>
                <w:lang w:val="el-GR"/>
              </w:rPr>
              <w:t xml:space="preserve"> θηλαστικών. Η ιδανική συγκέντρωση του διαλύματος είναι 1 </w:t>
            </w:r>
            <w:r>
              <w:rPr>
                <w:rFonts w:cs="Arial"/>
              </w:rPr>
              <w:t>mg</w:t>
            </w:r>
            <w:r w:rsidRPr="005963CA">
              <w:rPr>
                <w:rFonts w:cs="Arial"/>
                <w:lang w:val="el-GR"/>
              </w:rPr>
              <w:t>/</w:t>
            </w:r>
            <w:r>
              <w:rPr>
                <w:rFonts w:cs="Arial"/>
              </w:rPr>
              <w:t>mL</w:t>
            </w:r>
            <w:r w:rsidRPr="005963CA">
              <w:rPr>
                <w:rFonts w:cs="Arial"/>
                <w:lang w:val="el-GR"/>
              </w:rPr>
              <w:t xml:space="preserve">, ώστε να μπορεί να αραιωθεί περαιτέρω κατά βούληση. </w:t>
            </w:r>
            <w:proofErr w:type="spellStart"/>
            <w:r>
              <w:rPr>
                <w:rFonts w:cs="Arial"/>
              </w:rPr>
              <w:t>Με</w:t>
            </w:r>
            <w:proofErr w:type="spellEnd"/>
            <w:r>
              <w:rPr>
                <w:rFonts w:cs="Arial"/>
              </w:rPr>
              <w:t xml:space="preserve"> π</w:t>
            </w:r>
            <w:proofErr w:type="spellStart"/>
            <w:r>
              <w:rPr>
                <w:rFonts w:cs="Arial"/>
              </w:rPr>
              <w:t>ιστο</w:t>
            </w:r>
            <w:proofErr w:type="spellEnd"/>
            <w:r>
              <w:rPr>
                <w:rFonts w:cs="Arial"/>
              </w:rPr>
              <w:t>ποιητικό α</w:t>
            </w:r>
            <w:proofErr w:type="spellStart"/>
            <w:r>
              <w:rPr>
                <w:rFonts w:cs="Arial"/>
              </w:rPr>
              <w:t>νάλυσης</w:t>
            </w:r>
            <w:proofErr w:type="spellEnd"/>
            <w:r>
              <w:rPr>
                <w:rFonts w:cs="Arial"/>
              </w:rPr>
              <w:t xml:space="preserve"> α</w:t>
            </w:r>
            <w:proofErr w:type="spellStart"/>
            <w:r>
              <w:rPr>
                <w:rFonts w:cs="Arial"/>
              </w:rPr>
              <w:t>νά</w:t>
            </w:r>
            <w:proofErr w:type="spellEnd"/>
            <w:r>
              <w:rPr>
                <w:rFonts w:cs="Arial"/>
              </w:rPr>
              <w:t xml:space="preserve"> πα</w:t>
            </w:r>
            <w:proofErr w:type="spellStart"/>
            <w:r>
              <w:rPr>
                <w:rFonts w:cs="Arial"/>
              </w:rPr>
              <w:t>ρτίδ</w:t>
            </w:r>
            <w:proofErr w:type="spellEnd"/>
            <w:r>
              <w:rPr>
                <w:rFonts w:cs="Arial"/>
              </w:rPr>
              <w:t xml:space="preserve">α. </w:t>
            </w:r>
            <w:proofErr w:type="spellStart"/>
            <w:r>
              <w:rPr>
                <w:rFonts w:cs="Arial"/>
              </w:rPr>
              <w:t>Συσκευ</w:t>
            </w:r>
            <w:proofErr w:type="spellEnd"/>
            <w:r>
              <w:rPr>
                <w:rFonts w:cs="Arial"/>
              </w:rPr>
              <w:t>ασία 1 mg</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557"/>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11</w:t>
            </w:r>
          </w:p>
        </w:tc>
        <w:tc>
          <w:tcPr>
            <w:tcW w:w="5342" w:type="dxa"/>
            <w:shd w:val="clear" w:color="auto" w:fill="auto"/>
            <w:vAlign w:val="center"/>
            <w:hideMark/>
          </w:tcPr>
          <w:p w:rsidR="00E944C7" w:rsidRDefault="00E944C7" w:rsidP="00AE0313">
            <w:pPr>
              <w:rPr>
                <w:rFonts w:cs="Arial"/>
              </w:rPr>
            </w:pPr>
            <w:r w:rsidRPr="005963CA">
              <w:rPr>
                <w:rFonts w:cs="Arial"/>
                <w:lang w:val="el-GR"/>
              </w:rPr>
              <w:t xml:space="preserve">Σκόνη </w:t>
            </w:r>
            <w:r>
              <w:rPr>
                <w:rFonts w:cs="Arial"/>
              </w:rPr>
              <w:t>L</w:t>
            </w:r>
            <w:r w:rsidRPr="005963CA">
              <w:rPr>
                <w:rFonts w:cs="Arial"/>
                <w:lang w:val="el-GR"/>
              </w:rPr>
              <w:t>-</w:t>
            </w:r>
            <w:proofErr w:type="spellStart"/>
            <w:r w:rsidRPr="005963CA">
              <w:rPr>
                <w:rFonts w:cs="Arial"/>
                <w:lang w:val="el-GR"/>
              </w:rPr>
              <w:t>θρεοασκορβικού</w:t>
            </w:r>
            <w:proofErr w:type="spellEnd"/>
            <w:r w:rsidRPr="005963CA">
              <w:rPr>
                <w:rFonts w:cs="Arial"/>
                <w:lang w:val="el-GR"/>
              </w:rPr>
              <w:t xml:space="preserve"> οξέος, ελεγμένη για χρήση σε καλλιέργειες κυττάρων θηλαστικών, αποστειρωμένη με γ-ακτινοβολία. Με διαλυτότητα σε νερό: 10 </w:t>
            </w:r>
            <w:r>
              <w:rPr>
                <w:rFonts w:cs="Arial"/>
              </w:rPr>
              <w:t>mg</w:t>
            </w:r>
            <w:r w:rsidRPr="005963CA">
              <w:rPr>
                <w:rFonts w:cs="Arial"/>
                <w:lang w:val="el-GR"/>
              </w:rPr>
              <w:t>/</w:t>
            </w:r>
            <w:r>
              <w:rPr>
                <w:rFonts w:cs="Arial"/>
              </w:rPr>
              <w:t>ml</w:t>
            </w:r>
            <w:r w:rsidRPr="005963CA">
              <w:rPr>
                <w:rFonts w:cs="Arial"/>
                <w:lang w:val="el-GR"/>
              </w:rPr>
              <w:t xml:space="preserve">. Με πιστοποιητικό ανάλυσης ανά παρτίδα. </w:t>
            </w:r>
            <w:proofErr w:type="spellStart"/>
            <w:r>
              <w:rPr>
                <w:rFonts w:cs="Arial"/>
              </w:rPr>
              <w:t>Συσκευ</w:t>
            </w:r>
            <w:proofErr w:type="spellEnd"/>
            <w:r>
              <w:rPr>
                <w:rFonts w:cs="Arial"/>
              </w:rPr>
              <w:t>ασία 100 mg</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274"/>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12</w:t>
            </w:r>
          </w:p>
        </w:tc>
        <w:tc>
          <w:tcPr>
            <w:tcW w:w="5342" w:type="dxa"/>
            <w:shd w:val="clear" w:color="auto" w:fill="auto"/>
            <w:vAlign w:val="center"/>
            <w:hideMark/>
          </w:tcPr>
          <w:p w:rsidR="00E944C7" w:rsidRDefault="00E944C7" w:rsidP="00AE0313">
            <w:pPr>
              <w:rPr>
                <w:rFonts w:cs="Arial"/>
              </w:rPr>
            </w:pPr>
            <w:proofErr w:type="spellStart"/>
            <w:r>
              <w:rPr>
                <w:rFonts w:cs="Arial"/>
              </w:rPr>
              <w:t>Matrigel</w:t>
            </w:r>
            <w:proofErr w:type="spellEnd"/>
            <w:r w:rsidRPr="005963CA">
              <w:rPr>
                <w:rFonts w:cs="Arial"/>
                <w:lang w:val="el-GR"/>
              </w:rPr>
              <w:t xml:space="preserve"> με μειωμένους αυξητικούς παράγοντες (</w:t>
            </w:r>
            <w:r>
              <w:rPr>
                <w:rFonts w:cs="Arial"/>
              </w:rPr>
              <w:t>GFR</w:t>
            </w:r>
            <w:r w:rsidRPr="005963CA">
              <w:rPr>
                <w:rFonts w:cs="Arial"/>
                <w:lang w:val="el-GR"/>
              </w:rPr>
              <w:t xml:space="preserve">), ουσία βασικής μεμβράνης, κατάλληλο για εφαρμογές που απαιτούν </w:t>
            </w:r>
            <w:proofErr w:type="spellStart"/>
            <w:r w:rsidRPr="005963CA">
              <w:rPr>
                <w:rFonts w:cs="Arial"/>
                <w:lang w:val="el-GR"/>
              </w:rPr>
              <w:t>διαλυτοποιημένο</w:t>
            </w:r>
            <w:proofErr w:type="spellEnd"/>
            <w:r w:rsidRPr="005963CA">
              <w:rPr>
                <w:rFonts w:cs="Arial"/>
                <w:lang w:val="el-GR"/>
              </w:rPr>
              <w:t xml:space="preserve"> παρασκεύασμα καλά χαρακτηρισμένης βασικής μεμβράνης. Εκχυλίζεται από το σάρκωμα ποντικού </w:t>
            </w:r>
            <w:proofErr w:type="spellStart"/>
            <w:r>
              <w:rPr>
                <w:rFonts w:cs="Arial"/>
              </w:rPr>
              <w:t>Engelbreth</w:t>
            </w:r>
            <w:proofErr w:type="spellEnd"/>
            <w:r w:rsidRPr="005963CA">
              <w:rPr>
                <w:rFonts w:cs="Arial"/>
                <w:lang w:val="el-GR"/>
              </w:rPr>
              <w:t>-</w:t>
            </w:r>
            <w:r>
              <w:rPr>
                <w:rFonts w:cs="Arial"/>
              </w:rPr>
              <w:t>Holm</w:t>
            </w:r>
            <w:r w:rsidRPr="005963CA">
              <w:rPr>
                <w:rFonts w:cs="Arial"/>
                <w:lang w:val="el-GR"/>
              </w:rPr>
              <w:t>-</w:t>
            </w:r>
            <w:r>
              <w:rPr>
                <w:rFonts w:cs="Arial"/>
              </w:rPr>
              <w:t>Swarm</w:t>
            </w:r>
            <w:r w:rsidRPr="005963CA">
              <w:rPr>
                <w:rFonts w:cs="Arial"/>
                <w:lang w:val="el-GR"/>
              </w:rPr>
              <w:t xml:space="preserve"> (</w:t>
            </w:r>
            <w:r>
              <w:rPr>
                <w:rFonts w:cs="Arial"/>
              </w:rPr>
              <w:t>EHS</w:t>
            </w:r>
            <w:r w:rsidRPr="005963CA">
              <w:rPr>
                <w:rFonts w:cs="Arial"/>
                <w:lang w:val="el-GR"/>
              </w:rPr>
              <w:t xml:space="preserve">), το οποίο είναι όγκος πλούσιος σε πρωτεΐνες </w:t>
            </w:r>
            <w:proofErr w:type="spellStart"/>
            <w:r w:rsidRPr="005963CA">
              <w:rPr>
                <w:rFonts w:cs="Arial"/>
                <w:lang w:val="el-GR"/>
              </w:rPr>
              <w:t>εξωκυττάριας</w:t>
            </w:r>
            <w:proofErr w:type="spellEnd"/>
            <w:r w:rsidRPr="005963CA">
              <w:rPr>
                <w:rFonts w:cs="Arial"/>
                <w:lang w:val="el-GR"/>
              </w:rPr>
              <w:t xml:space="preserve"> ουσίας, συμπεριλαμβανομένης της </w:t>
            </w:r>
            <w:proofErr w:type="spellStart"/>
            <w:r w:rsidRPr="005963CA">
              <w:rPr>
                <w:rFonts w:cs="Arial"/>
                <w:lang w:val="el-GR"/>
              </w:rPr>
              <w:t>λαμινίνης</w:t>
            </w:r>
            <w:proofErr w:type="spellEnd"/>
            <w:r w:rsidRPr="005963CA">
              <w:rPr>
                <w:rFonts w:cs="Arial"/>
                <w:lang w:val="el-GR"/>
              </w:rPr>
              <w:t xml:space="preserve"> (ως κύριο συστατικό), του κολλαγόνου </w:t>
            </w:r>
            <w:r>
              <w:rPr>
                <w:rFonts w:cs="Arial"/>
              </w:rPr>
              <w:t>IV</w:t>
            </w:r>
            <w:r w:rsidRPr="005963CA">
              <w:rPr>
                <w:rFonts w:cs="Arial"/>
                <w:lang w:val="el-GR"/>
              </w:rPr>
              <w:t xml:space="preserve">, των </w:t>
            </w:r>
            <w:proofErr w:type="spellStart"/>
            <w:r w:rsidRPr="005963CA">
              <w:rPr>
                <w:rFonts w:cs="Arial"/>
                <w:lang w:val="el-GR"/>
              </w:rPr>
              <w:t>πρωτεογλυκανών</w:t>
            </w:r>
            <w:proofErr w:type="spellEnd"/>
            <w:r w:rsidRPr="005963CA">
              <w:rPr>
                <w:rFonts w:cs="Arial"/>
                <w:lang w:val="el-GR"/>
              </w:rPr>
              <w:t xml:space="preserve"> θειικής ηπαρίνης, της </w:t>
            </w:r>
            <w:proofErr w:type="spellStart"/>
            <w:r w:rsidRPr="005963CA">
              <w:rPr>
                <w:rFonts w:cs="Arial"/>
                <w:lang w:val="el-GR"/>
              </w:rPr>
              <w:t>εντακτίνης</w:t>
            </w:r>
            <w:proofErr w:type="spellEnd"/>
            <w:r w:rsidRPr="005963CA">
              <w:rPr>
                <w:rFonts w:cs="Arial"/>
                <w:lang w:val="el-GR"/>
              </w:rPr>
              <w:t xml:space="preserve"> κι ενός αριθμού αυξητικών παραγόντων. Η ποιότητα του να έχει ελεγχθεί σε αποικίες ποντικών για παθογόνα μέσω ελέγχου για την παραγωγή αντισωμάτων ποντικού και με εκτεταμένες δοκιμές </w:t>
            </w:r>
            <w:r>
              <w:rPr>
                <w:rFonts w:cs="Arial"/>
              </w:rPr>
              <w:t>PCR</w:t>
            </w:r>
            <w:r w:rsidRPr="005963CA">
              <w:rPr>
                <w:rFonts w:cs="Arial"/>
                <w:lang w:val="el-GR"/>
              </w:rPr>
              <w:t xml:space="preserve"> που εκτελούνται για τη διαλογή για ένα αριθμό παθογόνων. Να έχει δοκιμαστεί και να είναι αρνητικό για βακτήρια, μύκητες και </w:t>
            </w:r>
            <w:proofErr w:type="spellStart"/>
            <w:r w:rsidRPr="005963CA">
              <w:rPr>
                <w:rFonts w:cs="Arial"/>
                <w:lang w:val="el-GR"/>
              </w:rPr>
              <w:t>μυκόπλασμα</w:t>
            </w:r>
            <w:proofErr w:type="spellEnd"/>
            <w:r w:rsidRPr="005963CA">
              <w:rPr>
                <w:rFonts w:cs="Arial"/>
                <w:lang w:val="el-GR"/>
              </w:rPr>
              <w:t xml:space="preserve">. Οι συγκεντρώσεις πρωτεΐνης να έχουν προσδιοριστεί με τη μέθοδο </w:t>
            </w:r>
            <w:r>
              <w:rPr>
                <w:rFonts w:cs="Arial"/>
              </w:rPr>
              <w:t>Lowry</w:t>
            </w:r>
            <w:r w:rsidRPr="005963CA">
              <w:rPr>
                <w:rFonts w:cs="Arial"/>
                <w:lang w:val="el-GR"/>
              </w:rPr>
              <w:t xml:space="preserve"> και τα επίπεδα </w:t>
            </w:r>
            <w:proofErr w:type="spellStart"/>
            <w:r w:rsidRPr="005963CA">
              <w:rPr>
                <w:rFonts w:cs="Arial"/>
                <w:lang w:val="el-GR"/>
              </w:rPr>
              <w:t>ενδοτοξίνης</w:t>
            </w:r>
            <w:proofErr w:type="spellEnd"/>
            <w:r w:rsidRPr="005963CA">
              <w:rPr>
                <w:rFonts w:cs="Arial"/>
                <w:lang w:val="el-GR"/>
              </w:rPr>
              <w:t xml:space="preserve"> να έχουν μετρηθεί με τη δοκιμασία </w:t>
            </w:r>
            <w:r>
              <w:rPr>
                <w:rFonts w:cs="Arial"/>
              </w:rPr>
              <w:t>LAL</w:t>
            </w:r>
            <w:r w:rsidRPr="005963CA">
              <w:rPr>
                <w:rFonts w:cs="Arial"/>
                <w:lang w:val="el-GR"/>
              </w:rPr>
              <w:t xml:space="preserve">. Η σταθερότητα της </w:t>
            </w:r>
            <w:proofErr w:type="spellStart"/>
            <w:r w:rsidRPr="005963CA">
              <w:rPr>
                <w:rFonts w:cs="Arial"/>
                <w:lang w:val="el-GR"/>
              </w:rPr>
              <w:t>γέλης</w:t>
            </w:r>
            <w:proofErr w:type="spellEnd"/>
            <w:r w:rsidRPr="005963CA">
              <w:rPr>
                <w:rFonts w:cs="Arial"/>
                <w:lang w:val="el-GR"/>
              </w:rPr>
              <w:t xml:space="preserve"> να είναι ελεγμένη για περίοδο 14 ημερών στους 37°</w:t>
            </w:r>
            <w:r>
              <w:rPr>
                <w:rFonts w:cs="Arial"/>
              </w:rPr>
              <w:t>C</w:t>
            </w:r>
            <w:r w:rsidRPr="005963CA">
              <w:rPr>
                <w:rFonts w:cs="Arial"/>
                <w:lang w:val="el-GR"/>
              </w:rPr>
              <w:t xml:space="preserve"> και η βιολογική δραστηριότητα να προσδιορίζεται για κάθε παρτίδα με τη δοκιμασία ανάπτυξης </w:t>
            </w:r>
            <w:proofErr w:type="spellStart"/>
            <w:r w:rsidRPr="005963CA">
              <w:rPr>
                <w:rFonts w:cs="Arial"/>
                <w:lang w:val="el-GR"/>
              </w:rPr>
              <w:t>νευριτών</w:t>
            </w:r>
            <w:proofErr w:type="spellEnd"/>
            <w:r w:rsidRPr="005963CA">
              <w:rPr>
                <w:rFonts w:cs="Arial"/>
                <w:lang w:val="el-GR"/>
              </w:rPr>
              <w:t xml:space="preserve">. </w:t>
            </w:r>
            <w:proofErr w:type="spellStart"/>
            <w:r>
              <w:rPr>
                <w:rFonts w:cs="Arial"/>
              </w:rPr>
              <w:t>Συσκευ</w:t>
            </w:r>
            <w:proofErr w:type="spellEnd"/>
            <w:r>
              <w:rPr>
                <w:rFonts w:cs="Arial"/>
              </w:rPr>
              <w:t xml:space="preserve">ασία </w:t>
            </w:r>
            <w:proofErr w:type="spellStart"/>
            <w:r>
              <w:rPr>
                <w:rFonts w:cs="Arial"/>
              </w:rPr>
              <w:t>των</w:t>
            </w:r>
            <w:proofErr w:type="spellEnd"/>
            <w:r>
              <w:rPr>
                <w:rFonts w:cs="Arial"/>
              </w:rPr>
              <w:t xml:space="preserve"> 10 ml.</w:t>
            </w:r>
          </w:p>
        </w:tc>
        <w:tc>
          <w:tcPr>
            <w:tcW w:w="1134" w:type="dxa"/>
          </w:tcPr>
          <w:p w:rsidR="00E944C7" w:rsidRDefault="00E944C7" w:rsidP="00AE0313">
            <w:pPr>
              <w:rPr>
                <w:rFonts w:cs="Arial"/>
              </w:rPr>
            </w:pPr>
          </w:p>
        </w:tc>
        <w:tc>
          <w:tcPr>
            <w:tcW w:w="1134" w:type="dxa"/>
          </w:tcPr>
          <w:p w:rsidR="00E944C7" w:rsidRDefault="00E944C7" w:rsidP="00AE0313">
            <w:pPr>
              <w:rPr>
                <w:rFonts w:cs="Arial"/>
              </w:rPr>
            </w:pPr>
          </w:p>
        </w:tc>
        <w:tc>
          <w:tcPr>
            <w:tcW w:w="1666" w:type="dxa"/>
          </w:tcPr>
          <w:p w:rsidR="00E944C7" w:rsidRDefault="00E944C7" w:rsidP="00AE0313">
            <w:pPr>
              <w:rPr>
                <w:rFonts w:cs="Arial"/>
              </w:rPr>
            </w:pPr>
          </w:p>
        </w:tc>
      </w:tr>
      <w:tr w:rsidR="00E944C7" w:rsidRPr="00DF0BB6" w:rsidTr="00AE0313">
        <w:trPr>
          <w:trHeight w:val="60"/>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13</w:t>
            </w:r>
          </w:p>
        </w:tc>
        <w:tc>
          <w:tcPr>
            <w:tcW w:w="5342" w:type="dxa"/>
            <w:shd w:val="clear" w:color="auto" w:fill="auto"/>
            <w:vAlign w:val="center"/>
            <w:hideMark/>
          </w:tcPr>
          <w:p w:rsidR="00E944C7" w:rsidRDefault="00E944C7" w:rsidP="00AE0313">
            <w:pPr>
              <w:rPr>
                <w:rFonts w:cs="Arial"/>
              </w:rPr>
            </w:pPr>
            <w:proofErr w:type="spellStart"/>
            <w:r w:rsidRPr="005963CA">
              <w:rPr>
                <w:rFonts w:cs="Arial"/>
                <w:lang w:val="el-GR"/>
              </w:rPr>
              <w:t>Διαλυτοποιημένο</w:t>
            </w:r>
            <w:proofErr w:type="spellEnd"/>
            <w:r w:rsidRPr="005963CA">
              <w:rPr>
                <w:rFonts w:cs="Arial"/>
                <w:lang w:val="el-GR"/>
              </w:rPr>
              <w:t xml:space="preserve"> παρασκεύασμα βασικής μεμβράνης που εξάγεται από το σάρκωμα ποντικού </w:t>
            </w:r>
            <w:proofErr w:type="spellStart"/>
            <w:r>
              <w:rPr>
                <w:rFonts w:cs="Arial"/>
              </w:rPr>
              <w:t>Engelbreth</w:t>
            </w:r>
            <w:proofErr w:type="spellEnd"/>
            <w:r w:rsidRPr="005963CA">
              <w:rPr>
                <w:rFonts w:cs="Arial"/>
                <w:lang w:val="el-GR"/>
              </w:rPr>
              <w:t>-</w:t>
            </w:r>
            <w:r>
              <w:rPr>
                <w:rFonts w:cs="Arial"/>
              </w:rPr>
              <w:t>Holm</w:t>
            </w:r>
            <w:r w:rsidRPr="005963CA">
              <w:rPr>
                <w:rFonts w:cs="Arial"/>
                <w:lang w:val="el-GR"/>
              </w:rPr>
              <w:t>-</w:t>
            </w:r>
            <w:r>
              <w:rPr>
                <w:rFonts w:cs="Arial"/>
              </w:rPr>
              <w:t>Swarm</w:t>
            </w:r>
            <w:r w:rsidRPr="005963CA">
              <w:rPr>
                <w:rFonts w:cs="Arial"/>
                <w:lang w:val="el-GR"/>
              </w:rPr>
              <w:t xml:space="preserve"> (</w:t>
            </w:r>
            <w:r>
              <w:rPr>
                <w:rFonts w:cs="Arial"/>
              </w:rPr>
              <w:t>EHS</w:t>
            </w:r>
            <w:r w:rsidRPr="005963CA">
              <w:rPr>
                <w:rFonts w:cs="Arial"/>
                <w:lang w:val="el-GR"/>
              </w:rPr>
              <w:t xml:space="preserve">), έναν όγκο πλούσιο σε πρωτεΐνες </w:t>
            </w:r>
            <w:proofErr w:type="spellStart"/>
            <w:r w:rsidRPr="005963CA">
              <w:rPr>
                <w:rFonts w:cs="Arial"/>
                <w:lang w:val="el-GR"/>
              </w:rPr>
              <w:t>εξωκυττάριας</w:t>
            </w:r>
            <w:proofErr w:type="spellEnd"/>
            <w:r w:rsidRPr="005963CA">
              <w:rPr>
                <w:rFonts w:cs="Arial"/>
                <w:lang w:val="el-GR"/>
              </w:rPr>
              <w:t xml:space="preserve"> ουσίας, συμπεριλαμβανομένης της </w:t>
            </w:r>
            <w:proofErr w:type="spellStart"/>
            <w:r w:rsidRPr="005963CA">
              <w:rPr>
                <w:rFonts w:cs="Arial"/>
                <w:lang w:val="el-GR"/>
              </w:rPr>
              <w:t>λαμινίνης</w:t>
            </w:r>
            <w:proofErr w:type="spellEnd"/>
            <w:r w:rsidRPr="005963CA">
              <w:rPr>
                <w:rFonts w:cs="Arial"/>
                <w:lang w:val="el-GR"/>
              </w:rPr>
              <w:t xml:space="preserve"> (κύριο συστατικό), του κολλαγόνου </w:t>
            </w:r>
            <w:r>
              <w:rPr>
                <w:rFonts w:cs="Arial"/>
              </w:rPr>
              <w:t>IV</w:t>
            </w:r>
            <w:r w:rsidRPr="005963CA">
              <w:rPr>
                <w:rFonts w:cs="Arial"/>
                <w:lang w:val="el-GR"/>
              </w:rPr>
              <w:t xml:space="preserve">, των </w:t>
            </w:r>
            <w:proofErr w:type="spellStart"/>
            <w:r w:rsidRPr="005963CA">
              <w:rPr>
                <w:rFonts w:cs="Arial"/>
                <w:lang w:val="el-GR"/>
              </w:rPr>
              <w:lastRenderedPageBreak/>
              <w:t>πρωτεογλυκανών</w:t>
            </w:r>
            <w:proofErr w:type="spellEnd"/>
            <w:r w:rsidRPr="005963CA">
              <w:rPr>
                <w:rFonts w:cs="Arial"/>
                <w:lang w:val="el-GR"/>
              </w:rPr>
              <w:t xml:space="preserve"> της θειικής ηπαρίνης, </w:t>
            </w:r>
            <w:proofErr w:type="spellStart"/>
            <w:r w:rsidRPr="005963CA">
              <w:rPr>
                <w:rFonts w:cs="Arial"/>
                <w:lang w:val="el-GR"/>
              </w:rPr>
              <w:t>εντακτίνης</w:t>
            </w:r>
            <w:proofErr w:type="spellEnd"/>
            <w:r w:rsidRPr="005963CA">
              <w:rPr>
                <w:rFonts w:cs="Arial"/>
                <w:lang w:val="el-GR"/>
              </w:rPr>
              <w:t xml:space="preserve"> και έναν αριθμό αυξητικών παραγόντων. Να προτείνεται για την καλλιέργεια βλαστικών κυττάρων, να είναι συμβατό με θρεπτικό μέσο ισοδύναμο του </w:t>
            </w:r>
            <w:proofErr w:type="spellStart"/>
            <w:r>
              <w:rPr>
                <w:rFonts w:cs="Arial"/>
              </w:rPr>
              <w:t>mTeSR</w:t>
            </w:r>
            <w:proofErr w:type="spellEnd"/>
            <w:r w:rsidRPr="005963CA">
              <w:rPr>
                <w:rFonts w:cs="Arial"/>
                <w:lang w:val="el-GR"/>
              </w:rPr>
              <w:t xml:space="preserve">1. Να είναι αποδεκτό ως εναλλακτικό υπόστρωμα για την καλλιέργεια ανθρώπινων εμβρυϊκών βλαστικών κυττάρων και επαγόμενων πολυδύναμων βλαστικών κυττάρων. Να μην απαιτείται περαιτέρω προσθήκη αυξητικών παραγόντων ή συμπληρωμάτων.  Η ποιότητα του να έχει ελεγχθεί σε αποικίες ποντικών για παθογόνα μέσω ελέγχου για την παραγωγή αντισωμάτων ποντικού και με εκτεταμένες δοκιμές </w:t>
            </w:r>
            <w:r>
              <w:rPr>
                <w:rFonts w:cs="Arial"/>
              </w:rPr>
              <w:t>PCR</w:t>
            </w:r>
            <w:r w:rsidRPr="005963CA">
              <w:rPr>
                <w:rFonts w:cs="Arial"/>
                <w:lang w:val="el-GR"/>
              </w:rPr>
              <w:t xml:space="preserve"> που εκτελούνται για τη διαλογή για ένα αριθμό παθογόνων, Να έχει δοκιμαστεί και να είναι αρνητικό για βακτήρια, μύκητες και </w:t>
            </w:r>
            <w:proofErr w:type="spellStart"/>
            <w:r w:rsidRPr="005963CA">
              <w:rPr>
                <w:rFonts w:cs="Arial"/>
                <w:lang w:val="el-GR"/>
              </w:rPr>
              <w:t>μυκόπλασμα</w:t>
            </w:r>
            <w:proofErr w:type="spellEnd"/>
            <w:r w:rsidRPr="005963CA">
              <w:rPr>
                <w:rFonts w:cs="Arial"/>
                <w:lang w:val="el-GR"/>
              </w:rPr>
              <w:t xml:space="preserve">. Οι συγκεντρώσεις πρωτεΐνης να έχουν προσδιοριστεί με τη μέθοδο </w:t>
            </w:r>
            <w:r>
              <w:rPr>
                <w:rFonts w:cs="Arial"/>
              </w:rPr>
              <w:t>Lowry</w:t>
            </w:r>
            <w:r w:rsidRPr="005963CA">
              <w:rPr>
                <w:rFonts w:cs="Arial"/>
                <w:lang w:val="el-GR"/>
              </w:rPr>
              <w:t xml:space="preserve"> και τα επίπεδα </w:t>
            </w:r>
            <w:proofErr w:type="spellStart"/>
            <w:r w:rsidRPr="005963CA">
              <w:rPr>
                <w:rFonts w:cs="Arial"/>
                <w:lang w:val="el-GR"/>
              </w:rPr>
              <w:t>ενδοτοξίνης</w:t>
            </w:r>
            <w:proofErr w:type="spellEnd"/>
            <w:r w:rsidRPr="005963CA">
              <w:rPr>
                <w:rFonts w:cs="Arial"/>
                <w:lang w:val="el-GR"/>
              </w:rPr>
              <w:t xml:space="preserve"> να έχουν μετρηθεί με τη δοκιμασία </w:t>
            </w:r>
            <w:r>
              <w:rPr>
                <w:rFonts w:cs="Arial"/>
              </w:rPr>
              <w:t>LAL</w:t>
            </w:r>
            <w:r w:rsidRPr="005963CA">
              <w:rPr>
                <w:rFonts w:cs="Arial"/>
                <w:lang w:val="el-GR"/>
              </w:rPr>
              <w:t xml:space="preserve">. Η σταθερότητα της </w:t>
            </w:r>
            <w:proofErr w:type="spellStart"/>
            <w:r w:rsidRPr="005963CA">
              <w:rPr>
                <w:rFonts w:cs="Arial"/>
                <w:lang w:val="el-GR"/>
              </w:rPr>
              <w:t>γέλης</w:t>
            </w:r>
            <w:proofErr w:type="spellEnd"/>
            <w:r w:rsidRPr="005963CA">
              <w:rPr>
                <w:rFonts w:cs="Arial"/>
                <w:lang w:val="el-GR"/>
              </w:rPr>
              <w:t xml:space="preserve"> να είναι ελεγμένη για περίοδο 14 ημερών στους 37°</w:t>
            </w:r>
            <w:r>
              <w:rPr>
                <w:rFonts w:cs="Arial"/>
              </w:rPr>
              <w:t>C</w:t>
            </w:r>
            <w:r w:rsidRPr="005963CA">
              <w:rPr>
                <w:rFonts w:cs="Arial"/>
                <w:lang w:val="el-GR"/>
              </w:rPr>
              <w:t xml:space="preserve"> και η βιολογική δραστηριότητα να προσδιορίζεται για κάθε παρτίδα με τη δοκιμασία ανάπτυξης </w:t>
            </w:r>
            <w:proofErr w:type="spellStart"/>
            <w:r w:rsidRPr="005963CA">
              <w:rPr>
                <w:rFonts w:cs="Arial"/>
                <w:lang w:val="el-GR"/>
              </w:rPr>
              <w:t>νευριτών</w:t>
            </w:r>
            <w:proofErr w:type="spellEnd"/>
            <w:r w:rsidRPr="005963CA">
              <w:rPr>
                <w:rFonts w:cs="Arial"/>
                <w:lang w:val="el-GR"/>
              </w:rPr>
              <w:t xml:space="preserve">. </w:t>
            </w:r>
            <w:proofErr w:type="spellStart"/>
            <w:r>
              <w:rPr>
                <w:rFonts w:cs="Arial"/>
              </w:rPr>
              <w:t>Συσκευ</w:t>
            </w:r>
            <w:proofErr w:type="spellEnd"/>
            <w:r>
              <w:rPr>
                <w:rFonts w:cs="Arial"/>
              </w:rPr>
              <w:t xml:space="preserve">ασία </w:t>
            </w:r>
            <w:proofErr w:type="spellStart"/>
            <w:r>
              <w:rPr>
                <w:rFonts w:cs="Arial"/>
              </w:rPr>
              <w:t>των</w:t>
            </w:r>
            <w:proofErr w:type="spellEnd"/>
            <w:r>
              <w:rPr>
                <w:rFonts w:cs="Arial"/>
              </w:rPr>
              <w:t xml:space="preserve"> 5 ml.</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1200"/>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lastRenderedPageBreak/>
              <w:t>14</w:t>
            </w:r>
          </w:p>
        </w:tc>
        <w:tc>
          <w:tcPr>
            <w:tcW w:w="5342" w:type="dxa"/>
            <w:shd w:val="clear" w:color="auto" w:fill="auto"/>
            <w:vAlign w:val="center"/>
            <w:hideMark/>
          </w:tcPr>
          <w:p w:rsidR="00E944C7" w:rsidRDefault="00E944C7" w:rsidP="00AE0313">
            <w:pPr>
              <w:rPr>
                <w:rFonts w:cs="Arial"/>
              </w:rPr>
            </w:pPr>
            <w:proofErr w:type="spellStart"/>
            <w:r w:rsidRPr="005963CA">
              <w:rPr>
                <w:rFonts w:cs="Arial"/>
                <w:lang w:val="el-GR"/>
              </w:rPr>
              <w:t>Ανασυνδυασμένη</w:t>
            </w:r>
            <w:proofErr w:type="spellEnd"/>
            <w:r w:rsidRPr="005963CA">
              <w:rPr>
                <w:rFonts w:cs="Arial"/>
                <w:lang w:val="el-GR"/>
              </w:rPr>
              <w:t xml:space="preserve"> ανθρώπινη πρωτεΐνη </w:t>
            </w:r>
            <w:r>
              <w:rPr>
                <w:rFonts w:cs="Arial"/>
              </w:rPr>
              <w:t>GDNF</w:t>
            </w:r>
            <w:r w:rsidRPr="005963CA">
              <w:rPr>
                <w:rFonts w:cs="Arial"/>
                <w:lang w:val="el-GR"/>
              </w:rPr>
              <w:t xml:space="preserve">, προερχόμενη από κυτταρική σειρά </w:t>
            </w:r>
            <w:proofErr w:type="spellStart"/>
            <w:r w:rsidRPr="005963CA">
              <w:rPr>
                <w:rFonts w:cs="Arial"/>
                <w:lang w:val="el-GR"/>
              </w:rPr>
              <w:t>μυελώματος</w:t>
            </w:r>
            <w:proofErr w:type="spellEnd"/>
            <w:r w:rsidRPr="005963CA">
              <w:rPr>
                <w:rFonts w:cs="Arial"/>
                <w:lang w:val="el-GR"/>
              </w:rPr>
              <w:t xml:space="preserve"> ποντικού. &gt;95% καθαρότητα με </w:t>
            </w:r>
            <w:r>
              <w:rPr>
                <w:rFonts w:cs="Arial"/>
              </w:rPr>
              <w:t>SDS</w:t>
            </w:r>
            <w:r w:rsidRPr="005963CA">
              <w:rPr>
                <w:rFonts w:cs="Arial"/>
                <w:lang w:val="el-GR"/>
              </w:rPr>
              <w:t>-</w:t>
            </w:r>
            <w:r>
              <w:rPr>
                <w:rFonts w:cs="Arial"/>
              </w:rPr>
              <w:t>PAGE</w:t>
            </w:r>
            <w:r w:rsidRPr="005963CA">
              <w:rPr>
                <w:rFonts w:cs="Arial"/>
                <w:lang w:val="el-GR"/>
              </w:rPr>
              <w:t xml:space="preserve"> υπό αναγωγικές συνθήκες και </w:t>
            </w:r>
            <w:proofErr w:type="spellStart"/>
            <w:r w:rsidRPr="005963CA">
              <w:rPr>
                <w:rFonts w:cs="Arial"/>
                <w:lang w:val="el-GR"/>
              </w:rPr>
              <w:t>οπτικοποιημένη</w:t>
            </w:r>
            <w:proofErr w:type="spellEnd"/>
            <w:r w:rsidRPr="005963CA">
              <w:rPr>
                <w:rFonts w:cs="Arial"/>
                <w:lang w:val="el-GR"/>
              </w:rPr>
              <w:t xml:space="preserve"> με χρώση αργύρου. Επίπεδα </w:t>
            </w:r>
            <w:proofErr w:type="spellStart"/>
            <w:r w:rsidRPr="005963CA">
              <w:rPr>
                <w:rFonts w:cs="Arial"/>
                <w:lang w:val="el-GR"/>
              </w:rPr>
              <w:t>ενδοτοξίνης</w:t>
            </w:r>
            <w:proofErr w:type="spellEnd"/>
            <w:r w:rsidRPr="005963CA">
              <w:rPr>
                <w:rFonts w:cs="Arial"/>
                <w:lang w:val="el-GR"/>
              </w:rPr>
              <w:t xml:space="preserve"> &lt;0.01</w:t>
            </w:r>
            <w:r>
              <w:rPr>
                <w:rFonts w:cs="Arial"/>
              </w:rPr>
              <w:t>EU</w:t>
            </w:r>
            <w:r w:rsidRPr="005963CA">
              <w:rPr>
                <w:rFonts w:cs="Arial"/>
                <w:lang w:val="el-GR"/>
              </w:rPr>
              <w:t>/1μ</w:t>
            </w:r>
            <w:r>
              <w:rPr>
                <w:rFonts w:cs="Arial"/>
              </w:rPr>
              <w:t>g</w:t>
            </w:r>
            <w:r w:rsidRPr="005963CA">
              <w:rPr>
                <w:rFonts w:cs="Arial"/>
                <w:lang w:val="el-GR"/>
              </w:rPr>
              <w:t xml:space="preserve"> πρωτεΐνης με τη μέθοδο </w:t>
            </w:r>
            <w:r>
              <w:rPr>
                <w:rFonts w:cs="Arial"/>
              </w:rPr>
              <w:t>LAL</w:t>
            </w:r>
            <w:r w:rsidRPr="005963CA">
              <w:rPr>
                <w:rFonts w:cs="Arial"/>
                <w:lang w:val="el-GR"/>
              </w:rPr>
              <w:t xml:space="preserve">. Η </w:t>
            </w:r>
            <w:proofErr w:type="spellStart"/>
            <w:r w:rsidRPr="005963CA">
              <w:rPr>
                <w:rFonts w:cs="Arial"/>
                <w:lang w:val="el-GR"/>
              </w:rPr>
              <w:t>ενεργότητα</w:t>
            </w:r>
            <w:proofErr w:type="spellEnd"/>
            <w:r w:rsidRPr="005963CA">
              <w:rPr>
                <w:rFonts w:cs="Arial"/>
                <w:lang w:val="el-GR"/>
              </w:rPr>
              <w:t xml:space="preserve"> του (</w:t>
            </w:r>
            <w:r>
              <w:rPr>
                <w:rFonts w:cs="Arial"/>
              </w:rPr>
              <w:t>ED</w:t>
            </w:r>
            <w:r w:rsidRPr="005963CA">
              <w:rPr>
                <w:rFonts w:cs="Arial"/>
                <w:lang w:val="el-GR"/>
              </w:rPr>
              <w:t xml:space="preserve">50), μετρημένη ως χημική δοκιμή κυτταρικού πολλαπλασιασμού χρησιμοποιώντας ανθρώπινα κύτταρα </w:t>
            </w:r>
            <w:proofErr w:type="spellStart"/>
            <w:r w:rsidRPr="005963CA">
              <w:rPr>
                <w:rFonts w:cs="Arial"/>
                <w:lang w:val="el-GR"/>
              </w:rPr>
              <w:t>νευροβλαστώματος</w:t>
            </w:r>
            <w:proofErr w:type="spellEnd"/>
            <w:r w:rsidRPr="005963CA">
              <w:rPr>
                <w:rFonts w:cs="Arial"/>
                <w:lang w:val="el-GR"/>
              </w:rPr>
              <w:t xml:space="preserve"> </w:t>
            </w:r>
            <w:r>
              <w:rPr>
                <w:rFonts w:cs="Arial"/>
              </w:rPr>
              <w:t>SH</w:t>
            </w:r>
            <w:r w:rsidRPr="005963CA">
              <w:rPr>
                <w:rFonts w:cs="Arial"/>
                <w:lang w:val="el-GR"/>
              </w:rPr>
              <w:noBreakHyphen/>
            </w:r>
            <w:r>
              <w:rPr>
                <w:rFonts w:cs="Arial"/>
              </w:rPr>
              <w:t>SY</w:t>
            </w:r>
            <w:r w:rsidRPr="005963CA">
              <w:rPr>
                <w:rFonts w:cs="Arial"/>
                <w:lang w:val="el-GR"/>
              </w:rPr>
              <w:t>5</w:t>
            </w:r>
            <w:r>
              <w:rPr>
                <w:rFonts w:cs="Arial"/>
              </w:rPr>
              <w:t>Y</w:t>
            </w:r>
            <w:r w:rsidRPr="005963CA">
              <w:rPr>
                <w:rFonts w:cs="Arial"/>
                <w:lang w:val="el-GR"/>
              </w:rPr>
              <w:t xml:space="preserve"> κυμαίνεται μεταξύ 2-12 </w:t>
            </w:r>
            <w:r>
              <w:rPr>
                <w:rFonts w:cs="Arial"/>
              </w:rPr>
              <w:t>ng</w:t>
            </w:r>
            <w:r w:rsidRPr="005963CA">
              <w:rPr>
                <w:rFonts w:cs="Arial"/>
                <w:lang w:val="el-GR"/>
              </w:rPr>
              <w:t>/</w:t>
            </w:r>
            <w:r>
              <w:rPr>
                <w:rFonts w:cs="Arial"/>
              </w:rPr>
              <w:t>mL</w:t>
            </w:r>
            <w:r w:rsidRPr="005963CA">
              <w:rPr>
                <w:rFonts w:cs="Arial"/>
                <w:lang w:val="el-GR"/>
              </w:rPr>
              <w:t xml:space="preserve"> παρουσία του </w:t>
            </w:r>
            <w:proofErr w:type="spellStart"/>
            <w:r w:rsidRPr="005963CA">
              <w:rPr>
                <w:rFonts w:cs="Arial"/>
                <w:lang w:val="el-GR"/>
              </w:rPr>
              <w:t>ανασυνδυασμένου</w:t>
            </w:r>
            <w:proofErr w:type="spellEnd"/>
            <w:r w:rsidRPr="005963CA">
              <w:rPr>
                <w:rFonts w:cs="Arial"/>
                <w:lang w:val="el-GR"/>
              </w:rPr>
              <w:t xml:space="preserve"> ανθρώπινου </w:t>
            </w:r>
            <w:r>
              <w:rPr>
                <w:rFonts w:cs="Arial"/>
              </w:rPr>
              <w:t>GFR</w:t>
            </w:r>
            <w:r w:rsidRPr="005963CA">
              <w:rPr>
                <w:rFonts w:cs="Arial"/>
                <w:lang w:val="el-GR"/>
              </w:rPr>
              <w:t xml:space="preserve"> άλφα</w:t>
            </w:r>
            <w:r w:rsidRPr="005963CA">
              <w:rPr>
                <w:rFonts w:cs="Arial"/>
                <w:lang w:val="el-GR"/>
              </w:rPr>
              <w:noBreakHyphen/>
              <w:t>1/</w:t>
            </w:r>
            <w:r>
              <w:rPr>
                <w:rFonts w:cs="Arial"/>
              </w:rPr>
              <w:t>GDNFR</w:t>
            </w:r>
            <w:r w:rsidRPr="005963CA">
              <w:rPr>
                <w:rFonts w:cs="Arial"/>
                <w:lang w:val="el-GR"/>
              </w:rPr>
              <w:t xml:space="preserve"> άλφα </w:t>
            </w:r>
            <w:r w:rsidRPr="005963CA">
              <w:rPr>
                <w:rFonts w:cs="Arial"/>
                <w:lang w:val="el-GR"/>
              </w:rPr>
              <w:noBreakHyphen/>
              <w:t xml:space="preserve">1 </w:t>
            </w:r>
            <w:r>
              <w:rPr>
                <w:rFonts w:cs="Arial"/>
              </w:rPr>
              <w:t>Fc</w:t>
            </w:r>
            <w:r w:rsidRPr="005963CA">
              <w:rPr>
                <w:rFonts w:cs="Arial"/>
                <w:lang w:val="el-GR"/>
              </w:rPr>
              <w:t xml:space="preserve"> </w:t>
            </w:r>
            <w:r>
              <w:rPr>
                <w:rFonts w:cs="Arial"/>
              </w:rPr>
              <w:t>Chimera</w:t>
            </w:r>
            <w:r w:rsidRPr="005963CA">
              <w:rPr>
                <w:rFonts w:cs="Arial"/>
                <w:lang w:val="el-GR"/>
              </w:rPr>
              <w:t xml:space="preserve">. </w:t>
            </w:r>
            <w:proofErr w:type="spellStart"/>
            <w:r>
              <w:rPr>
                <w:rFonts w:cs="Arial"/>
              </w:rPr>
              <w:t>Προ</w:t>
            </w:r>
            <w:proofErr w:type="spellEnd"/>
            <w:r>
              <w:rPr>
                <w:rFonts w:cs="Arial"/>
              </w:rPr>
              <w:t xml:space="preserve">βλεπόμενη </w:t>
            </w:r>
            <w:proofErr w:type="spellStart"/>
            <w:r>
              <w:rPr>
                <w:rFonts w:cs="Arial"/>
              </w:rPr>
              <w:t>μορι</w:t>
            </w:r>
            <w:proofErr w:type="spellEnd"/>
            <w:r>
              <w:rPr>
                <w:rFonts w:cs="Arial"/>
              </w:rPr>
              <w:t xml:space="preserve">ακή </w:t>
            </w:r>
            <w:proofErr w:type="spellStart"/>
            <w:r>
              <w:rPr>
                <w:rFonts w:cs="Arial"/>
              </w:rPr>
              <w:t>μάζ</w:t>
            </w:r>
            <w:proofErr w:type="spellEnd"/>
            <w:r>
              <w:rPr>
                <w:rFonts w:cs="Arial"/>
              </w:rPr>
              <w:t>α 11.6KDa (</w:t>
            </w:r>
            <w:proofErr w:type="spellStart"/>
            <w:r>
              <w:rPr>
                <w:rFonts w:cs="Arial"/>
              </w:rPr>
              <w:t>μονομερές</w:t>
            </w:r>
            <w:proofErr w:type="spellEnd"/>
            <w:r>
              <w:rPr>
                <w:rFonts w:cs="Arial"/>
              </w:rPr>
              <w:t xml:space="preserve">). </w:t>
            </w:r>
            <w:proofErr w:type="spellStart"/>
            <w:r w:rsidRPr="00FD4401">
              <w:rPr>
                <w:rFonts w:cs="Arial"/>
              </w:rPr>
              <w:t>Συσκευ</w:t>
            </w:r>
            <w:proofErr w:type="spellEnd"/>
            <w:r w:rsidRPr="00FD4401">
              <w:rPr>
                <w:rFonts w:cs="Arial"/>
              </w:rPr>
              <w:t xml:space="preserve">ασία: 50 </w:t>
            </w:r>
            <w:proofErr w:type="spellStart"/>
            <w:r w:rsidRPr="00FD4401">
              <w:rPr>
                <w:rFonts w:cs="Arial"/>
              </w:rPr>
              <w:t>μg</w:t>
            </w:r>
            <w:proofErr w:type="spellEnd"/>
            <w:r w:rsidRPr="00FD4401">
              <w:rPr>
                <w:rFonts w:cs="Arial"/>
              </w:rPr>
              <w:t>.</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273"/>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15</w:t>
            </w:r>
          </w:p>
        </w:tc>
        <w:tc>
          <w:tcPr>
            <w:tcW w:w="5342" w:type="dxa"/>
            <w:shd w:val="clear" w:color="auto" w:fill="auto"/>
            <w:vAlign w:val="center"/>
            <w:hideMark/>
          </w:tcPr>
          <w:p w:rsidR="00E944C7" w:rsidRDefault="00E944C7" w:rsidP="00AE0313">
            <w:pPr>
              <w:rPr>
                <w:rFonts w:cs="Arial"/>
              </w:rPr>
            </w:pPr>
            <w:proofErr w:type="spellStart"/>
            <w:r w:rsidRPr="005963CA">
              <w:rPr>
                <w:rFonts w:cs="Arial"/>
                <w:lang w:val="el-GR"/>
              </w:rPr>
              <w:t>Ανασυνδυασμένη</w:t>
            </w:r>
            <w:proofErr w:type="spellEnd"/>
            <w:r w:rsidRPr="005963CA">
              <w:rPr>
                <w:rFonts w:cs="Arial"/>
                <w:lang w:val="el-GR"/>
              </w:rPr>
              <w:t xml:space="preserve"> ανθρώπινη/ποντικίσια  πρωτεΐνη </w:t>
            </w:r>
            <w:r>
              <w:rPr>
                <w:rFonts w:cs="Arial"/>
              </w:rPr>
              <w:t>FGF</w:t>
            </w:r>
            <w:r w:rsidRPr="005963CA">
              <w:rPr>
                <w:rFonts w:cs="Arial"/>
                <w:lang w:val="el-GR"/>
              </w:rPr>
              <w:t xml:space="preserve">8β, παραγόμενη από </w:t>
            </w:r>
            <w:r>
              <w:rPr>
                <w:rFonts w:cs="Arial"/>
              </w:rPr>
              <w:t>E</w:t>
            </w:r>
            <w:r w:rsidRPr="005963CA">
              <w:rPr>
                <w:rFonts w:cs="Arial"/>
                <w:lang w:val="el-GR"/>
              </w:rPr>
              <w:t>.</w:t>
            </w:r>
            <w:r>
              <w:rPr>
                <w:rFonts w:cs="Arial"/>
              </w:rPr>
              <w:t>coli</w:t>
            </w:r>
            <w:r w:rsidRPr="005963CA">
              <w:rPr>
                <w:rFonts w:cs="Arial"/>
                <w:lang w:val="el-GR"/>
              </w:rPr>
              <w:t xml:space="preserve"> με </w:t>
            </w:r>
            <w:proofErr w:type="spellStart"/>
            <w:r w:rsidRPr="005963CA">
              <w:rPr>
                <w:rFonts w:cs="Arial"/>
                <w:lang w:val="el-GR"/>
              </w:rPr>
              <w:t>μεθυλιωμένο</w:t>
            </w:r>
            <w:proofErr w:type="spellEnd"/>
            <w:r w:rsidRPr="005963CA">
              <w:rPr>
                <w:rFonts w:cs="Arial"/>
                <w:lang w:val="el-GR"/>
              </w:rPr>
              <w:t xml:space="preserve"> το Ν-τελικό της άκρο. Η </w:t>
            </w:r>
            <w:proofErr w:type="spellStart"/>
            <w:r w:rsidRPr="005963CA">
              <w:rPr>
                <w:rFonts w:cs="Arial"/>
                <w:lang w:val="el-GR"/>
              </w:rPr>
              <w:t>ενεργότητα</w:t>
            </w:r>
            <w:proofErr w:type="spellEnd"/>
            <w:r w:rsidRPr="005963CA">
              <w:rPr>
                <w:rFonts w:cs="Arial"/>
                <w:lang w:val="el-GR"/>
              </w:rPr>
              <w:t xml:space="preserve"> του (</w:t>
            </w:r>
            <w:r>
              <w:rPr>
                <w:rFonts w:cs="Arial"/>
              </w:rPr>
              <w:t>ED</w:t>
            </w:r>
            <w:r w:rsidRPr="005963CA">
              <w:rPr>
                <w:rFonts w:cs="Arial"/>
                <w:lang w:val="el-GR"/>
              </w:rPr>
              <w:t xml:space="preserve">50), μετρημένη ως χημική δοκιμή κυτταρικού πολλαπλασιασμού χρησιμοποιώντας </w:t>
            </w:r>
            <w:proofErr w:type="spellStart"/>
            <w:r w:rsidRPr="005963CA">
              <w:rPr>
                <w:rFonts w:cs="Arial"/>
                <w:lang w:val="el-GR"/>
              </w:rPr>
              <w:t>ινοβλάστες</w:t>
            </w:r>
            <w:proofErr w:type="spellEnd"/>
            <w:r w:rsidRPr="005963CA">
              <w:rPr>
                <w:rFonts w:cs="Arial"/>
                <w:lang w:val="el-GR"/>
              </w:rPr>
              <w:t xml:space="preserve"> ποντικού </w:t>
            </w:r>
            <w:r>
              <w:rPr>
                <w:rFonts w:cs="Arial"/>
              </w:rPr>
              <w:t>NR</w:t>
            </w:r>
            <w:r w:rsidRPr="005963CA">
              <w:rPr>
                <w:rFonts w:cs="Arial"/>
                <w:lang w:val="el-GR"/>
              </w:rPr>
              <w:t>6</w:t>
            </w:r>
            <w:r>
              <w:rPr>
                <w:rFonts w:cs="Arial"/>
              </w:rPr>
              <w:t>R</w:t>
            </w:r>
            <w:r w:rsidRPr="005963CA">
              <w:rPr>
                <w:rFonts w:cs="Arial"/>
                <w:lang w:val="el-GR"/>
              </w:rPr>
              <w:noBreakHyphen/>
              <w:t>3</w:t>
            </w:r>
            <w:r>
              <w:rPr>
                <w:rFonts w:cs="Arial"/>
              </w:rPr>
              <w:t>T</w:t>
            </w:r>
            <w:r w:rsidRPr="005963CA">
              <w:rPr>
                <w:rFonts w:cs="Arial"/>
                <w:lang w:val="el-GR"/>
              </w:rPr>
              <w:t>3, να κυμαίνεται μεταξύ 6.5-40</w:t>
            </w:r>
            <w:r>
              <w:rPr>
                <w:rFonts w:cs="Arial"/>
              </w:rPr>
              <w:t>ng</w:t>
            </w:r>
            <w:r w:rsidRPr="005963CA">
              <w:rPr>
                <w:rFonts w:cs="Arial"/>
                <w:lang w:val="el-GR"/>
              </w:rPr>
              <w:t>/</w:t>
            </w:r>
            <w:r>
              <w:rPr>
                <w:rFonts w:cs="Arial"/>
              </w:rPr>
              <w:t>mL</w:t>
            </w:r>
            <w:r w:rsidRPr="005963CA">
              <w:rPr>
                <w:rFonts w:cs="Arial"/>
                <w:lang w:val="el-GR"/>
              </w:rPr>
              <w:t xml:space="preserve"> παρουσία 1µ</w:t>
            </w:r>
            <w:r>
              <w:rPr>
                <w:rFonts w:cs="Arial"/>
              </w:rPr>
              <w:t>g</w:t>
            </w:r>
            <w:r w:rsidRPr="005963CA">
              <w:rPr>
                <w:rFonts w:cs="Arial"/>
                <w:lang w:val="el-GR"/>
              </w:rPr>
              <w:t>/</w:t>
            </w:r>
            <w:r>
              <w:rPr>
                <w:rFonts w:cs="Arial"/>
              </w:rPr>
              <w:t>mL</w:t>
            </w:r>
            <w:r w:rsidRPr="005963CA">
              <w:rPr>
                <w:rFonts w:cs="Arial"/>
                <w:lang w:val="el-GR"/>
              </w:rPr>
              <w:t xml:space="preserve"> </w:t>
            </w:r>
            <w:r>
              <w:rPr>
                <w:rFonts w:cs="Arial"/>
              </w:rPr>
              <w:t>heparin</w:t>
            </w:r>
            <w:r w:rsidRPr="005963CA">
              <w:rPr>
                <w:rFonts w:cs="Arial"/>
                <w:lang w:val="el-GR"/>
              </w:rPr>
              <w:t xml:space="preserve"> &gt;97% καθαρότητα με </w:t>
            </w:r>
            <w:r>
              <w:rPr>
                <w:rFonts w:cs="Arial"/>
              </w:rPr>
              <w:t>SDS</w:t>
            </w:r>
            <w:r w:rsidRPr="005963CA">
              <w:rPr>
                <w:rFonts w:cs="Arial"/>
                <w:lang w:val="el-GR"/>
              </w:rPr>
              <w:t>-</w:t>
            </w:r>
            <w:r>
              <w:rPr>
                <w:rFonts w:cs="Arial"/>
              </w:rPr>
              <w:t>PAGE</w:t>
            </w:r>
            <w:r w:rsidRPr="005963CA">
              <w:rPr>
                <w:rFonts w:cs="Arial"/>
                <w:lang w:val="el-GR"/>
              </w:rPr>
              <w:t xml:space="preserve"> υπό αναγωγικές συνθήκες και </w:t>
            </w:r>
            <w:proofErr w:type="spellStart"/>
            <w:r w:rsidRPr="005963CA">
              <w:rPr>
                <w:rFonts w:cs="Arial"/>
                <w:lang w:val="el-GR"/>
              </w:rPr>
              <w:t>οπτικοποιημένη</w:t>
            </w:r>
            <w:proofErr w:type="spellEnd"/>
            <w:r w:rsidRPr="005963CA">
              <w:rPr>
                <w:rFonts w:cs="Arial"/>
                <w:lang w:val="el-GR"/>
              </w:rPr>
              <w:t xml:space="preserve"> με χρώση αργύρου και ποσοτική </w:t>
            </w:r>
            <w:proofErr w:type="spellStart"/>
            <w:r w:rsidRPr="005963CA">
              <w:rPr>
                <w:rFonts w:cs="Arial"/>
                <w:lang w:val="el-GR"/>
              </w:rPr>
              <w:t>πυκνομέτρηση</w:t>
            </w:r>
            <w:proofErr w:type="spellEnd"/>
            <w:r w:rsidRPr="005963CA">
              <w:rPr>
                <w:rFonts w:cs="Arial"/>
                <w:lang w:val="el-GR"/>
              </w:rPr>
              <w:t xml:space="preserve"> με χρώση </w:t>
            </w:r>
            <w:proofErr w:type="spellStart"/>
            <w:r>
              <w:rPr>
                <w:rFonts w:cs="Arial"/>
              </w:rPr>
              <w:t>Coomassie</w:t>
            </w:r>
            <w:proofErr w:type="spellEnd"/>
            <w:r w:rsidRPr="005963CA">
              <w:rPr>
                <w:rFonts w:cs="Arial"/>
                <w:lang w:val="el-GR"/>
              </w:rPr>
              <w:t xml:space="preserve"> </w:t>
            </w:r>
            <w:r>
              <w:rPr>
                <w:rFonts w:cs="Arial"/>
              </w:rPr>
              <w:t>Blue</w:t>
            </w:r>
            <w:r w:rsidRPr="005963CA">
              <w:rPr>
                <w:rFonts w:cs="Arial"/>
                <w:lang w:val="el-GR"/>
              </w:rPr>
              <w:t xml:space="preserve">. Επίπεδα </w:t>
            </w:r>
            <w:proofErr w:type="spellStart"/>
            <w:r w:rsidRPr="005963CA">
              <w:rPr>
                <w:rFonts w:cs="Arial"/>
                <w:lang w:val="el-GR"/>
              </w:rPr>
              <w:t>ενδοτοξίνης</w:t>
            </w:r>
            <w:proofErr w:type="spellEnd"/>
            <w:r w:rsidRPr="005963CA">
              <w:rPr>
                <w:rFonts w:cs="Arial"/>
                <w:lang w:val="el-GR"/>
              </w:rPr>
              <w:t xml:space="preserve"> &lt;0.01</w:t>
            </w:r>
            <w:r>
              <w:rPr>
                <w:rFonts w:cs="Arial"/>
              </w:rPr>
              <w:t>EU</w:t>
            </w:r>
            <w:r w:rsidRPr="005963CA">
              <w:rPr>
                <w:rFonts w:cs="Arial"/>
                <w:lang w:val="el-GR"/>
              </w:rPr>
              <w:t>/1μ</w:t>
            </w:r>
            <w:r>
              <w:rPr>
                <w:rFonts w:cs="Arial"/>
              </w:rPr>
              <w:t>g</w:t>
            </w:r>
            <w:r w:rsidRPr="005963CA">
              <w:rPr>
                <w:rFonts w:cs="Arial"/>
                <w:lang w:val="el-GR"/>
              </w:rPr>
              <w:t xml:space="preserve"> πρωτεΐνης με τη μέθοδο </w:t>
            </w:r>
            <w:r>
              <w:rPr>
                <w:rFonts w:cs="Arial"/>
              </w:rPr>
              <w:t>LAL</w:t>
            </w:r>
            <w:r w:rsidRPr="005963CA">
              <w:rPr>
                <w:rFonts w:cs="Arial"/>
                <w:lang w:val="el-GR"/>
              </w:rPr>
              <w:t>. Προβλεπόμενη μοριακή μάζα 22.5</w:t>
            </w:r>
            <w:proofErr w:type="spellStart"/>
            <w:r>
              <w:rPr>
                <w:rFonts w:cs="Arial"/>
              </w:rPr>
              <w:t>KDa</w:t>
            </w:r>
            <w:proofErr w:type="spellEnd"/>
            <w:r w:rsidRPr="005963CA">
              <w:rPr>
                <w:rFonts w:cs="Arial"/>
                <w:lang w:val="el-GR"/>
              </w:rPr>
              <w:t xml:space="preserve">. Με πιστοποιητικό ανάλυσης ανά παρτίδα. </w:t>
            </w:r>
            <w:proofErr w:type="spellStart"/>
            <w:r>
              <w:rPr>
                <w:rFonts w:cs="Arial"/>
              </w:rPr>
              <w:t>Συσκευ</w:t>
            </w:r>
            <w:proofErr w:type="spellEnd"/>
            <w:r>
              <w:rPr>
                <w:rFonts w:cs="Arial"/>
              </w:rPr>
              <w:t xml:space="preserve">ασία 25 </w:t>
            </w:r>
            <w:proofErr w:type="spellStart"/>
            <w:r>
              <w:rPr>
                <w:rFonts w:cs="Arial"/>
              </w:rPr>
              <w:t>μg</w:t>
            </w:r>
            <w:proofErr w:type="spellEnd"/>
            <w:r>
              <w:rPr>
                <w:rFonts w:cs="Arial"/>
              </w:rPr>
              <w:t>.</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900"/>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16</w:t>
            </w:r>
          </w:p>
        </w:tc>
        <w:tc>
          <w:tcPr>
            <w:tcW w:w="5342" w:type="dxa"/>
            <w:shd w:val="clear" w:color="auto" w:fill="auto"/>
            <w:vAlign w:val="center"/>
            <w:hideMark/>
          </w:tcPr>
          <w:p w:rsidR="00E944C7" w:rsidRDefault="00E944C7" w:rsidP="00AE0313">
            <w:pPr>
              <w:rPr>
                <w:rFonts w:cs="Arial"/>
              </w:rPr>
            </w:pPr>
            <w:proofErr w:type="spellStart"/>
            <w:r>
              <w:rPr>
                <w:rFonts w:cs="Arial"/>
              </w:rPr>
              <w:t>Αν</w:t>
            </w:r>
            <w:proofErr w:type="spellEnd"/>
            <w:r>
              <w:rPr>
                <w:rFonts w:cs="Arial"/>
              </w:rPr>
              <w:t>ασυνδυασμένο α</w:t>
            </w:r>
            <w:proofErr w:type="spellStart"/>
            <w:r>
              <w:rPr>
                <w:rFonts w:cs="Arial"/>
              </w:rPr>
              <w:t>μινοτελικό</w:t>
            </w:r>
            <w:proofErr w:type="spellEnd"/>
            <w:r>
              <w:rPr>
                <w:rFonts w:cs="Arial"/>
              </w:rPr>
              <w:t xml:space="preserve"> </w:t>
            </w:r>
            <w:proofErr w:type="spellStart"/>
            <w:r>
              <w:rPr>
                <w:rFonts w:cs="Arial"/>
              </w:rPr>
              <w:t>τμήμ</w:t>
            </w:r>
            <w:proofErr w:type="spellEnd"/>
            <w:r>
              <w:rPr>
                <w:rFonts w:cs="Arial"/>
              </w:rPr>
              <w:t xml:space="preserve">α </w:t>
            </w:r>
            <w:proofErr w:type="spellStart"/>
            <w:r>
              <w:rPr>
                <w:rFonts w:cs="Arial"/>
              </w:rPr>
              <w:t>της</w:t>
            </w:r>
            <w:proofErr w:type="spellEnd"/>
            <w:r>
              <w:rPr>
                <w:rFonts w:cs="Arial"/>
              </w:rPr>
              <w:t xml:space="preserve"> π</w:t>
            </w:r>
            <w:proofErr w:type="spellStart"/>
            <w:r>
              <w:rPr>
                <w:rFonts w:cs="Arial"/>
              </w:rPr>
              <w:t>ρωτεΐνης</w:t>
            </w:r>
            <w:proofErr w:type="spellEnd"/>
            <w:r>
              <w:rPr>
                <w:rFonts w:cs="Arial"/>
              </w:rPr>
              <w:t xml:space="preserve"> Sonic Hedgehog/</w:t>
            </w:r>
            <w:proofErr w:type="spellStart"/>
            <w:r>
              <w:rPr>
                <w:rFonts w:cs="Arial"/>
              </w:rPr>
              <w:t>Shh</w:t>
            </w:r>
            <w:proofErr w:type="spellEnd"/>
            <w:r>
              <w:rPr>
                <w:rFonts w:cs="Arial"/>
              </w:rPr>
              <w:t xml:space="preserve"> α</w:t>
            </w:r>
            <w:proofErr w:type="spellStart"/>
            <w:r>
              <w:rPr>
                <w:rFonts w:cs="Arial"/>
              </w:rPr>
              <w:t>νθρώ</w:t>
            </w:r>
            <w:proofErr w:type="spellEnd"/>
            <w:r>
              <w:rPr>
                <w:rFonts w:cs="Arial"/>
              </w:rPr>
              <w:t xml:space="preserve">που </w:t>
            </w:r>
            <w:proofErr w:type="spellStart"/>
            <w:r>
              <w:rPr>
                <w:rFonts w:cs="Arial"/>
              </w:rPr>
              <w:t>σε</w:t>
            </w:r>
            <w:proofErr w:type="spellEnd"/>
            <w:r>
              <w:rPr>
                <w:rFonts w:cs="Arial"/>
              </w:rPr>
              <w:t xml:space="preserve"> </w:t>
            </w:r>
            <w:proofErr w:type="spellStart"/>
            <w:r>
              <w:rPr>
                <w:rFonts w:cs="Arial"/>
              </w:rPr>
              <w:t>λυοφιλιωμένη</w:t>
            </w:r>
            <w:proofErr w:type="spellEnd"/>
            <w:r>
              <w:rPr>
                <w:rFonts w:cs="Arial"/>
              </w:rPr>
              <w:t xml:space="preserve"> </w:t>
            </w:r>
            <w:proofErr w:type="spellStart"/>
            <w:r>
              <w:rPr>
                <w:rFonts w:cs="Arial"/>
              </w:rPr>
              <w:t>μορφή</w:t>
            </w:r>
            <w:proofErr w:type="spellEnd"/>
            <w:r>
              <w:rPr>
                <w:rFonts w:cs="Arial"/>
              </w:rPr>
              <w:t xml:space="preserve"> π</w:t>
            </w:r>
            <w:proofErr w:type="spellStart"/>
            <w:r>
              <w:rPr>
                <w:rFonts w:cs="Arial"/>
              </w:rPr>
              <w:t>ροερχόμενο</w:t>
            </w:r>
            <w:proofErr w:type="spellEnd"/>
            <w:r>
              <w:rPr>
                <w:rFonts w:cs="Arial"/>
              </w:rPr>
              <w:t xml:space="preserve"> από </w:t>
            </w:r>
            <w:proofErr w:type="spellStart"/>
            <w:r>
              <w:rPr>
                <w:rFonts w:cs="Arial"/>
              </w:rPr>
              <w:t>φιλτρ</w:t>
            </w:r>
            <w:proofErr w:type="spellEnd"/>
            <w:r>
              <w:rPr>
                <w:rFonts w:cs="Arial"/>
              </w:rPr>
              <w:t xml:space="preserve">αρισμένο </w:t>
            </w:r>
            <w:proofErr w:type="spellStart"/>
            <w:r>
              <w:rPr>
                <w:rFonts w:cs="Arial"/>
              </w:rPr>
              <w:t>διάλυμ</w:t>
            </w:r>
            <w:proofErr w:type="spellEnd"/>
            <w:r>
              <w:rPr>
                <w:rFonts w:cs="Arial"/>
              </w:rPr>
              <w:t>α αλβ</w:t>
            </w:r>
            <w:proofErr w:type="spellStart"/>
            <w:r>
              <w:rPr>
                <w:rFonts w:cs="Arial"/>
              </w:rPr>
              <w:t>ουμίνης</w:t>
            </w:r>
            <w:proofErr w:type="spellEnd"/>
            <w:r>
              <w:rPr>
                <w:rFonts w:cs="Arial"/>
              </w:rPr>
              <w:t xml:space="preserve"> </w:t>
            </w:r>
            <w:proofErr w:type="spellStart"/>
            <w:r>
              <w:rPr>
                <w:rFonts w:cs="Arial"/>
              </w:rPr>
              <w:t>ορού</w:t>
            </w:r>
            <w:proofErr w:type="spellEnd"/>
            <w:r>
              <w:rPr>
                <w:rFonts w:cs="Arial"/>
              </w:rPr>
              <w:t xml:space="preserve"> β</w:t>
            </w:r>
            <w:proofErr w:type="spellStart"/>
            <w:r>
              <w:rPr>
                <w:rFonts w:cs="Arial"/>
              </w:rPr>
              <w:t>οός</w:t>
            </w:r>
            <w:proofErr w:type="spellEnd"/>
            <w:r>
              <w:rPr>
                <w:rFonts w:cs="Arial"/>
              </w:rPr>
              <w:t xml:space="preserve"> (Bovine Serum Albumin, BSA) </w:t>
            </w:r>
            <w:proofErr w:type="spellStart"/>
            <w:r>
              <w:rPr>
                <w:rFonts w:cs="Arial"/>
              </w:rPr>
              <w:t>σε</w:t>
            </w:r>
            <w:proofErr w:type="spellEnd"/>
            <w:r>
              <w:rPr>
                <w:rFonts w:cs="Arial"/>
              </w:rPr>
              <w:t xml:space="preserve"> PBS και </w:t>
            </w:r>
            <w:proofErr w:type="spellStart"/>
            <w:r>
              <w:rPr>
                <w:rFonts w:cs="Arial"/>
              </w:rPr>
              <w:t>NaCl</w:t>
            </w:r>
            <w:proofErr w:type="spellEnd"/>
            <w:r>
              <w:rPr>
                <w:rFonts w:cs="Arial"/>
              </w:rPr>
              <w:t xml:space="preserve">. </w:t>
            </w:r>
            <w:r w:rsidRPr="005963CA">
              <w:rPr>
                <w:rFonts w:cs="Arial"/>
                <w:lang w:val="el-GR"/>
              </w:rPr>
              <w:lastRenderedPageBreak/>
              <w:t>Η δραστικότητά του (</w:t>
            </w:r>
            <w:r>
              <w:rPr>
                <w:rFonts w:cs="Arial"/>
              </w:rPr>
              <w:t>ED</w:t>
            </w:r>
            <w:r w:rsidRPr="005963CA">
              <w:rPr>
                <w:rFonts w:cs="Arial"/>
                <w:lang w:val="el-GR"/>
              </w:rPr>
              <w:t>50) πρέπει να είναι 0.1-</w:t>
            </w:r>
            <w:r w:rsidRPr="005963CA">
              <w:rPr>
                <w:rFonts w:cs="Arial"/>
                <w:lang w:val="el-GR"/>
              </w:rPr>
              <w:softHyphen/>
              <w:t>0.4 µ</w:t>
            </w:r>
            <w:r>
              <w:rPr>
                <w:rFonts w:cs="Arial"/>
              </w:rPr>
              <w:t>g</w:t>
            </w:r>
            <w:r w:rsidRPr="005963CA">
              <w:rPr>
                <w:rFonts w:cs="Arial"/>
                <w:lang w:val="el-GR"/>
              </w:rPr>
              <w:t>/</w:t>
            </w:r>
            <w:r>
              <w:rPr>
                <w:rFonts w:cs="Arial"/>
              </w:rPr>
              <w:t>mL</w:t>
            </w:r>
            <w:r w:rsidRPr="005963CA">
              <w:rPr>
                <w:rFonts w:cs="Arial"/>
                <w:lang w:val="el-GR"/>
              </w:rPr>
              <w:t xml:space="preserve"> Η καθαρότητά της ουσίας πρέπει να είναι μεγαλύτερη από 95%. </w:t>
            </w:r>
            <w:proofErr w:type="spellStart"/>
            <w:r>
              <w:rPr>
                <w:rFonts w:cs="Arial"/>
              </w:rPr>
              <w:t>Με</w:t>
            </w:r>
            <w:proofErr w:type="spellEnd"/>
            <w:r>
              <w:rPr>
                <w:rFonts w:cs="Arial"/>
              </w:rPr>
              <w:t xml:space="preserve"> π</w:t>
            </w:r>
            <w:proofErr w:type="spellStart"/>
            <w:r>
              <w:rPr>
                <w:rFonts w:cs="Arial"/>
              </w:rPr>
              <w:t>ιστο</w:t>
            </w:r>
            <w:proofErr w:type="spellEnd"/>
            <w:r>
              <w:rPr>
                <w:rFonts w:cs="Arial"/>
              </w:rPr>
              <w:t>ποιητικό α</w:t>
            </w:r>
            <w:proofErr w:type="spellStart"/>
            <w:r>
              <w:rPr>
                <w:rFonts w:cs="Arial"/>
              </w:rPr>
              <w:t>νάλυσης</w:t>
            </w:r>
            <w:proofErr w:type="spellEnd"/>
            <w:r>
              <w:rPr>
                <w:rFonts w:cs="Arial"/>
              </w:rPr>
              <w:t xml:space="preserve"> α</w:t>
            </w:r>
            <w:proofErr w:type="spellStart"/>
            <w:r>
              <w:rPr>
                <w:rFonts w:cs="Arial"/>
              </w:rPr>
              <w:t>νά</w:t>
            </w:r>
            <w:proofErr w:type="spellEnd"/>
            <w:r>
              <w:rPr>
                <w:rFonts w:cs="Arial"/>
              </w:rPr>
              <w:t xml:space="preserve"> πα</w:t>
            </w:r>
            <w:proofErr w:type="spellStart"/>
            <w:r>
              <w:rPr>
                <w:rFonts w:cs="Arial"/>
              </w:rPr>
              <w:t>ρτίδ</w:t>
            </w:r>
            <w:proofErr w:type="spellEnd"/>
            <w:r>
              <w:rPr>
                <w:rFonts w:cs="Arial"/>
              </w:rPr>
              <w:t xml:space="preserve">α. </w:t>
            </w:r>
            <w:proofErr w:type="spellStart"/>
            <w:r>
              <w:rPr>
                <w:rFonts w:cs="Arial"/>
              </w:rPr>
              <w:t>Συσκευ</w:t>
            </w:r>
            <w:proofErr w:type="spellEnd"/>
            <w:r>
              <w:rPr>
                <w:rFonts w:cs="Arial"/>
              </w:rPr>
              <w:t xml:space="preserve">ασία 25 </w:t>
            </w:r>
            <w:proofErr w:type="spellStart"/>
            <w:r>
              <w:rPr>
                <w:rFonts w:cs="Arial"/>
              </w:rPr>
              <w:t>μg</w:t>
            </w:r>
            <w:proofErr w:type="spellEnd"/>
            <w:r>
              <w:rPr>
                <w:rFonts w:cs="Arial"/>
              </w:rPr>
              <w:t>.</w:t>
            </w:r>
          </w:p>
        </w:tc>
        <w:tc>
          <w:tcPr>
            <w:tcW w:w="1134" w:type="dxa"/>
          </w:tcPr>
          <w:p w:rsidR="00E944C7" w:rsidRDefault="00E944C7" w:rsidP="00AE0313">
            <w:pPr>
              <w:rPr>
                <w:rFonts w:cs="Arial"/>
              </w:rPr>
            </w:pPr>
          </w:p>
        </w:tc>
        <w:tc>
          <w:tcPr>
            <w:tcW w:w="1134" w:type="dxa"/>
          </w:tcPr>
          <w:p w:rsidR="00E944C7" w:rsidRDefault="00E944C7" w:rsidP="00AE0313">
            <w:pPr>
              <w:rPr>
                <w:rFonts w:cs="Arial"/>
              </w:rPr>
            </w:pPr>
          </w:p>
        </w:tc>
        <w:tc>
          <w:tcPr>
            <w:tcW w:w="1666" w:type="dxa"/>
          </w:tcPr>
          <w:p w:rsidR="00E944C7" w:rsidRDefault="00E944C7" w:rsidP="00AE0313">
            <w:pPr>
              <w:rPr>
                <w:rFonts w:cs="Arial"/>
              </w:rPr>
            </w:pPr>
          </w:p>
        </w:tc>
      </w:tr>
      <w:tr w:rsidR="00E944C7" w:rsidRPr="00DF0BB6" w:rsidTr="00AE0313">
        <w:trPr>
          <w:trHeight w:val="1202"/>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lastRenderedPageBreak/>
              <w:t>17</w:t>
            </w:r>
          </w:p>
        </w:tc>
        <w:tc>
          <w:tcPr>
            <w:tcW w:w="5342" w:type="dxa"/>
            <w:shd w:val="clear" w:color="auto" w:fill="auto"/>
            <w:vAlign w:val="center"/>
            <w:hideMark/>
          </w:tcPr>
          <w:p w:rsidR="00E944C7" w:rsidRDefault="00E944C7" w:rsidP="00AE0313">
            <w:pPr>
              <w:rPr>
                <w:rFonts w:cs="Arial"/>
              </w:rPr>
            </w:pPr>
            <w:r w:rsidRPr="005963CA">
              <w:rPr>
                <w:rFonts w:cs="Arial"/>
                <w:lang w:val="el-GR"/>
              </w:rPr>
              <w:t xml:space="preserve">Ορολογικές </w:t>
            </w:r>
            <w:proofErr w:type="spellStart"/>
            <w:r w:rsidRPr="005963CA">
              <w:rPr>
                <w:rFonts w:cs="Arial"/>
                <w:lang w:val="el-GR"/>
              </w:rPr>
              <w:t>πιπέττες</w:t>
            </w:r>
            <w:proofErr w:type="spellEnd"/>
            <w:r w:rsidRPr="005963CA">
              <w:rPr>
                <w:rFonts w:cs="Arial"/>
                <w:lang w:val="el-GR"/>
              </w:rPr>
              <w:t xml:space="preserve"> 25 </w:t>
            </w:r>
            <w:r>
              <w:rPr>
                <w:rFonts w:cs="Arial"/>
              </w:rPr>
              <w:t>ml</w:t>
            </w:r>
            <w:r w:rsidRPr="005963CA">
              <w:rPr>
                <w:rFonts w:cs="Arial"/>
                <w:lang w:val="el-GR"/>
              </w:rPr>
              <w:t>, διπλά βαθμονομημένες ανά 0,2</w:t>
            </w:r>
            <w:r>
              <w:rPr>
                <w:rFonts w:cs="Arial"/>
              </w:rPr>
              <w:t>ml</w:t>
            </w:r>
            <w:r w:rsidRPr="005963CA">
              <w:rPr>
                <w:rFonts w:cs="Arial"/>
                <w:lang w:val="el-GR"/>
              </w:rPr>
              <w:t xml:space="preserve">, για εύκολη χρήση τόσο στο γέμισμα όσο και στο άδειασμα. Αρνητική διαβάθμιση για αύξηση του ωφέλιμου όγκου. Ελεύθερες πυρετογόνων, κατάλληλες για </w:t>
            </w:r>
            <w:proofErr w:type="spellStart"/>
            <w:r w:rsidRPr="005963CA">
              <w:rPr>
                <w:rFonts w:cs="Arial"/>
                <w:lang w:val="el-GR"/>
              </w:rPr>
              <w:t>κυτταροκαλλιέργειες</w:t>
            </w:r>
            <w:proofErr w:type="spellEnd"/>
            <w:r w:rsidRPr="005963CA">
              <w:rPr>
                <w:rFonts w:cs="Arial"/>
                <w:lang w:val="el-GR"/>
              </w:rPr>
              <w:t xml:space="preserve">, με βαμβάκι στο επιστόμιο, αποστειρωμένες σε ατομική συσκευασία. </w:t>
            </w:r>
            <w:proofErr w:type="spellStart"/>
            <w:r>
              <w:rPr>
                <w:rFonts w:cs="Arial"/>
              </w:rPr>
              <w:t>Συσκευ</w:t>
            </w:r>
            <w:proofErr w:type="spellEnd"/>
            <w:r>
              <w:rPr>
                <w:rFonts w:cs="Arial"/>
              </w:rPr>
              <w:t>ασία: 25/</w:t>
            </w:r>
            <w:proofErr w:type="spellStart"/>
            <w:r>
              <w:rPr>
                <w:rFonts w:cs="Arial"/>
              </w:rPr>
              <w:t>Pk</w:t>
            </w:r>
            <w:proofErr w:type="spellEnd"/>
            <w:r>
              <w:rPr>
                <w:rFonts w:cs="Arial"/>
              </w:rPr>
              <w:t>, 200/Case.</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1125"/>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18</w:t>
            </w:r>
          </w:p>
        </w:tc>
        <w:tc>
          <w:tcPr>
            <w:tcW w:w="5342" w:type="dxa"/>
            <w:shd w:val="clear" w:color="auto" w:fill="auto"/>
            <w:vAlign w:val="center"/>
            <w:hideMark/>
          </w:tcPr>
          <w:p w:rsidR="00E944C7" w:rsidRDefault="00E944C7" w:rsidP="00AE0313">
            <w:pPr>
              <w:rPr>
                <w:rFonts w:cs="Arial"/>
              </w:rPr>
            </w:pPr>
            <w:r w:rsidRPr="005963CA">
              <w:rPr>
                <w:rFonts w:cs="Arial"/>
                <w:lang w:val="el-GR"/>
              </w:rPr>
              <w:t xml:space="preserve">Ορολογικές </w:t>
            </w:r>
            <w:proofErr w:type="spellStart"/>
            <w:r w:rsidRPr="005963CA">
              <w:rPr>
                <w:rFonts w:cs="Arial"/>
                <w:lang w:val="el-GR"/>
              </w:rPr>
              <w:t>πιπέττες</w:t>
            </w:r>
            <w:proofErr w:type="spellEnd"/>
            <w:r w:rsidRPr="005963CA">
              <w:rPr>
                <w:rFonts w:cs="Arial"/>
                <w:lang w:val="el-GR"/>
              </w:rPr>
              <w:t xml:space="preserve"> 10 </w:t>
            </w:r>
            <w:r>
              <w:rPr>
                <w:rFonts w:cs="Arial"/>
              </w:rPr>
              <w:t>ml</w:t>
            </w:r>
            <w:r w:rsidRPr="005963CA">
              <w:rPr>
                <w:rFonts w:cs="Arial"/>
                <w:lang w:val="el-GR"/>
              </w:rPr>
              <w:t>, διπλά βαθμονομημένες ανά 0,1</w:t>
            </w:r>
            <w:r>
              <w:rPr>
                <w:rFonts w:cs="Arial"/>
              </w:rPr>
              <w:t>ml</w:t>
            </w:r>
            <w:r w:rsidRPr="005963CA">
              <w:rPr>
                <w:rFonts w:cs="Arial"/>
                <w:lang w:val="el-GR"/>
              </w:rPr>
              <w:t xml:space="preserve">, για εύκολη χρήση τόσο στο γέμισμα όσο και στο άδειασμα. Αρνητική διαβάθμιση για αύξηση του </w:t>
            </w:r>
            <w:proofErr w:type="spellStart"/>
            <w:r w:rsidRPr="005963CA">
              <w:rPr>
                <w:rFonts w:cs="Arial"/>
                <w:lang w:val="el-GR"/>
              </w:rPr>
              <w:t>οφέλιμου</w:t>
            </w:r>
            <w:proofErr w:type="spellEnd"/>
            <w:r w:rsidRPr="005963CA">
              <w:rPr>
                <w:rFonts w:cs="Arial"/>
                <w:lang w:val="el-GR"/>
              </w:rPr>
              <w:t xml:space="preserve"> όγκου. Ελεύθερες πυρετογόνων, κατάλληλες για </w:t>
            </w:r>
            <w:proofErr w:type="spellStart"/>
            <w:r w:rsidRPr="005963CA">
              <w:rPr>
                <w:rFonts w:cs="Arial"/>
                <w:lang w:val="el-GR"/>
              </w:rPr>
              <w:t>κυτταροκαλλιέργειες</w:t>
            </w:r>
            <w:proofErr w:type="spellEnd"/>
            <w:r w:rsidRPr="005963CA">
              <w:rPr>
                <w:rFonts w:cs="Arial"/>
                <w:lang w:val="el-GR"/>
              </w:rPr>
              <w:t xml:space="preserve">, με βαμβάκι στο επιστόμιο, αποστειρωμένες σε ατομική συσκευασία. </w:t>
            </w:r>
            <w:proofErr w:type="spellStart"/>
            <w:r>
              <w:rPr>
                <w:rFonts w:cs="Arial"/>
              </w:rPr>
              <w:t>Συσκευ</w:t>
            </w:r>
            <w:proofErr w:type="spellEnd"/>
            <w:r>
              <w:rPr>
                <w:rFonts w:cs="Arial"/>
              </w:rPr>
              <w:t>ασία: 50/</w:t>
            </w:r>
            <w:proofErr w:type="spellStart"/>
            <w:r>
              <w:rPr>
                <w:rFonts w:cs="Arial"/>
              </w:rPr>
              <w:t>Pk</w:t>
            </w:r>
            <w:proofErr w:type="spellEnd"/>
            <w:r>
              <w:rPr>
                <w:rFonts w:cs="Arial"/>
              </w:rPr>
              <w:t>, 500/Case</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60"/>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19</w:t>
            </w:r>
          </w:p>
        </w:tc>
        <w:tc>
          <w:tcPr>
            <w:tcW w:w="5342" w:type="dxa"/>
            <w:shd w:val="clear" w:color="auto" w:fill="auto"/>
            <w:vAlign w:val="center"/>
            <w:hideMark/>
          </w:tcPr>
          <w:p w:rsidR="00E944C7" w:rsidRDefault="00E944C7" w:rsidP="00AE0313">
            <w:pPr>
              <w:rPr>
                <w:rFonts w:cs="Arial"/>
              </w:rPr>
            </w:pPr>
            <w:r w:rsidRPr="005963CA">
              <w:rPr>
                <w:rFonts w:cs="Arial"/>
                <w:lang w:val="el-GR"/>
              </w:rPr>
              <w:t xml:space="preserve">Ορολογικές </w:t>
            </w:r>
            <w:proofErr w:type="spellStart"/>
            <w:r w:rsidRPr="005963CA">
              <w:rPr>
                <w:rFonts w:cs="Arial"/>
                <w:lang w:val="el-GR"/>
              </w:rPr>
              <w:t>πιπέττες</w:t>
            </w:r>
            <w:proofErr w:type="spellEnd"/>
            <w:r w:rsidRPr="005963CA">
              <w:rPr>
                <w:rFonts w:cs="Arial"/>
                <w:lang w:val="el-GR"/>
              </w:rPr>
              <w:t xml:space="preserve"> 5 </w:t>
            </w:r>
            <w:r>
              <w:rPr>
                <w:rFonts w:cs="Arial"/>
              </w:rPr>
              <w:t>ml</w:t>
            </w:r>
            <w:r w:rsidRPr="005963CA">
              <w:rPr>
                <w:rFonts w:cs="Arial"/>
                <w:lang w:val="el-GR"/>
              </w:rPr>
              <w:t>, διπλά βαθμονομημένες ανά 0,1</w:t>
            </w:r>
            <w:r>
              <w:rPr>
                <w:rFonts w:cs="Arial"/>
              </w:rPr>
              <w:t>ml</w:t>
            </w:r>
            <w:r w:rsidRPr="005963CA">
              <w:rPr>
                <w:rFonts w:cs="Arial"/>
                <w:lang w:val="el-GR"/>
              </w:rPr>
              <w:t xml:space="preserve">, για εύκολη χρήση τόσο στο γέμισμα όσο και στο άδειασμα. Αρνητική διαβάθμιση για αύξηση του </w:t>
            </w:r>
            <w:proofErr w:type="spellStart"/>
            <w:r w:rsidRPr="005963CA">
              <w:rPr>
                <w:rFonts w:cs="Arial"/>
                <w:lang w:val="el-GR"/>
              </w:rPr>
              <w:t>οφέλιμου</w:t>
            </w:r>
            <w:proofErr w:type="spellEnd"/>
            <w:r w:rsidRPr="005963CA">
              <w:rPr>
                <w:rFonts w:cs="Arial"/>
                <w:lang w:val="el-GR"/>
              </w:rPr>
              <w:t xml:space="preserve"> όγκου. Ελεύθερες πυρετογόνων, κατάλληλες για </w:t>
            </w:r>
            <w:proofErr w:type="spellStart"/>
            <w:r w:rsidRPr="005963CA">
              <w:rPr>
                <w:rFonts w:cs="Arial"/>
                <w:lang w:val="el-GR"/>
              </w:rPr>
              <w:t>κυτταροκαλλιέργειες</w:t>
            </w:r>
            <w:proofErr w:type="spellEnd"/>
            <w:r w:rsidRPr="005963CA">
              <w:rPr>
                <w:rFonts w:cs="Arial"/>
                <w:lang w:val="el-GR"/>
              </w:rPr>
              <w:t xml:space="preserve">, με βαμβάκι στο επιστόμιο, αποστειρωμένες σε ατομική συσκευασία. </w:t>
            </w:r>
            <w:proofErr w:type="spellStart"/>
            <w:r>
              <w:rPr>
                <w:rFonts w:cs="Arial"/>
              </w:rPr>
              <w:t>Συσκευ</w:t>
            </w:r>
            <w:proofErr w:type="spellEnd"/>
            <w:r>
              <w:rPr>
                <w:rFonts w:cs="Arial"/>
              </w:rPr>
              <w:t>ασία: 50/</w:t>
            </w:r>
            <w:proofErr w:type="spellStart"/>
            <w:r>
              <w:rPr>
                <w:rFonts w:cs="Arial"/>
              </w:rPr>
              <w:t>Pk</w:t>
            </w:r>
            <w:proofErr w:type="spellEnd"/>
            <w:r>
              <w:rPr>
                <w:rFonts w:cs="Arial"/>
              </w:rPr>
              <w:t>, 500/Case.</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1544"/>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20</w:t>
            </w:r>
          </w:p>
        </w:tc>
        <w:tc>
          <w:tcPr>
            <w:tcW w:w="5342" w:type="dxa"/>
            <w:shd w:val="clear" w:color="auto" w:fill="auto"/>
            <w:vAlign w:val="center"/>
            <w:hideMark/>
          </w:tcPr>
          <w:p w:rsidR="00E944C7" w:rsidRDefault="00E944C7" w:rsidP="00AE0313">
            <w:pPr>
              <w:rPr>
                <w:rFonts w:cs="Arial"/>
              </w:rPr>
            </w:pPr>
            <w:r w:rsidRPr="005963CA">
              <w:rPr>
                <w:rFonts w:cs="Arial"/>
                <w:lang w:val="el-GR"/>
              </w:rPr>
              <w:t xml:space="preserve">Ορολογικές </w:t>
            </w:r>
            <w:proofErr w:type="spellStart"/>
            <w:r w:rsidRPr="005963CA">
              <w:rPr>
                <w:rFonts w:cs="Arial"/>
                <w:lang w:val="el-GR"/>
              </w:rPr>
              <w:t>πιπέττες</w:t>
            </w:r>
            <w:proofErr w:type="spellEnd"/>
            <w:r w:rsidRPr="005963CA">
              <w:rPr>
                <w:rFonts w:cs="Arial"/>
                <w:lang w:val="el-GR"/>
              </w:rPr>
              <w:t xml:space="preserve"> 2 </w:t>
            </w:r>
            <w:r>
              <w:rPr>
                <w:rFonts w:cs="Arial"/>
              </w:rPr>
              <w:t>ml</w:t>
            </w:r>
            <w:r w:rsidRPr="005963CA">
              <w:rPr>
                <w:rFonts w:cs="Arial"/>
                <w:lang w:val="el-GR"/>
              </w:rPr>
              <w:t>, διπλά βαθμονομημένες ανά 0,01</w:t>
            </w:r>
            <w:r>
              <w:rPr>
                <w:rFonts w:cs="Arial"/>
              </w:rPr>
              <w:t>ml</w:t>
            </w:r>
            <w:r w:rsidRPr="005963CA">
              <w:rPr>
                <w:rFonts w:cs="Arial"/>
                <w:lang w:val="el-GR"/>
              </w:rPr>
              <w:t xml:space="preserve">, για εύκολη χρήση τόσο στο γέμισμα όσο και στο άδειασμα. Αρνητική διαβάθμιση για αύξηση του </w:t>
            </w:r>
            <w:proofErr w:type="spellStart"/>
            <w:r w:rsidRPr="005963CA">
              <w:rPr>
                <w:rFonts w:cs="Arial"/>
                <w:lang w:val="el-GR"/>
              </w:rPr>
              <w:t>οφέλιμου</w:t>
            </w:r>
            <w:proofErr w:type="spellEnd"/>
            <w:r w:rsidRPr="005963CA">
              <w:rPr>
                <w:rFonts w:cs="Arial"/>
                <w:lang w:val="el-GR"/>
              </w:rPr>
              <w:t xml:space="preserve"> όγκου. Ελεύθερες πυρετογόνων, κατάλληλες για </w:t>
            </w:r>
            <w:proofErr w:type="spellStart"/>
            <w:r w:rsidRPr="005963CA">
              <w:rPr>
                <w:rFonts w:cs="Arial"/>
                <w:lang w:val="el-GR"/>
              </w:rPr>
              <w:t>κυτταροκαλλιέργειες</w:t>
            </w:r>
            <w:proofErr w:type="spellEnd"/>
            <w:r w:rsidRPr="005963CA">
              <w:rPr>
                <w:rFonts w:cs="Arial"/>
                <w:lang w:val="el-GR"/>
              </w:rPr>
              <w:t xml:space="preserve">, με βαμβάκι στο επιστόμιο, αποστειρωμένες σε ατομική συσκευασία. </w:t>
            </w:r>
            <w:proofErr w:type="spellStart"/>
            <w:r>
              <w:rPr>
                <w:rFonts w:cs="Arial"/>
              </w:rPr>
              <w:t>Συσκευ</w:t>
            </w:r>
            <w:proofErr w:type="spellEnd"/>
            <w:r>
              <w:rPr>
                <w:rFonts w:cs="Arial"/>
              </w:rPr>
              <w:t>ασία: 100/</w:t>
            </w:r>
            <w:proofErr w:type="spellStart"/>
            <w:r>
              <w:rPr>
                <w:rFonts w:cs="Arial"/>
              </w:rPr>
              <w:t>Pk</w:t>
            </w:r>
            <w:proofErr w:type="spellEnd"/>
            <w:r>
              <w:rPr>
                <w:rFonts w:cs="Arial"/>
              </w:rPr>
              <w:t>, 1000/Case</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274"/>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21</w:t>
            </w:r>
          </w:p>
        </w:tc>
        <w:tc>
          <w:tcPr>
            <w:tcW w:w="5342" w:type="dxa"/>
            <w:shd w:val="clear" w:color="auto" w:fill="auto"/>
            <w:vAlign w:val="center"/>
            <w:hideMark/>
          </w:tcPr>
          <w:p w:rsidR="00E944C7" w:rsidRDefault="00E944C7" w:rsidP="00AE0313">
            <w:pPr>
              <w:rPr>
                <w:rFonts w:cs="Arial"/>
              </w:rPr>
            </w:pPr>
            <w:r w:rsidRPr="005963CA">
              <w:rPr>
                <w:rFonts w:cs="Arial"/>
                <w:lang w:val="el-GR"/>
              </w:rPr>
              <w:t xml:space="preserve">Ορολογικές </w:t>
            </w:r>
            <w:proofErr w:type="spellStart"/>
            <w:r w:rsidRPr="005963CA">
              <w:rPr>
                <w:rFonts w:cs="Arial"/>
                <w:lang w:val="el-GR"/>
              </w:rPr>
              <w:t>πιπέττες</w:t>
            </w:r>
            <w:proofErr w:type="spellEnd"/>
            <w:r w:rsidRPr="005963CA">
              <w:rPr>
                <w:rFonts w:cs="Arial"/>
                <w:lang w:val="el-GR"/>
              </w:rPr>
              <w:t xml:space="preserve"> 1 </w:t>
            </w:r>
            <w:r>
              <w:rPr>
                <w:rFonts w:cs="Arial"/>
              </w:rPr>
              <w:t>ml</w:t>
            </w:r>
            <w:r w:rsidRPr="005963CA">
              <w:rPr>
                <w:rFonts w:cs="Arial"/>
                <w:lang w:val="el-GR"/>
              </w:rPr>
              <w:t>, διπλά βαθμονομημένες ανά 0,01</w:t>
            </w:r>
            <w:r>
              <w:rPr>
                <w:rFonts w:cs="Arial"/>
              </w:rPr>
              <w:t>ml</w:t>
            </w:r>
            <w:r w:rsidRPr="005963CA">
              <w:rPr>
                <w:rFonts w:cs="Arial"/>
                <w:lang w:val="el-GR"/>
              </w:rPr>
              <w:t xml:space="preserve">, για εύκολη χρήση τόσο στο γέμισμα όσο και στο άδειασμα. Αρνητική διαβάθμιση για αύξηση του </w:t>
            </w:r>
            <w:proofErr w:type="spellStart"/>
            <w:r w:rsidRPr="005963CA">
              <w:rPr>
                <w:rFonts w:cs="Arial"/>
                <w:lang w:val="el-GR"/>
              </w:rPr>
              <w:t>οφέλιμου</w:t>
            </w:r>
            <w:proofErr w:type="spellEnd"/>
            <w:r w:rsidRPr="005963CA">
              <w:rPr>
                <w:rFonts w:cs="Arial"/>
                <w:lang w:val="el-GR"/>
              </w:rPr>
              <w:t xml:space="preserve"> όγκου. Ελεύθερες πυρετογόνων, κατάλληλες για </w:t>
            </w:r>
            <w:proofErr w:type="spellStart"/>
            <w:r w:rsidRPr="005963CA">
              <w:rPr>
                <w:rFonts w:cs="Arial"/>
                <w:lang w:val="el-GR"/>
              </w:rPr>
              <w:t>κυτταροκαλλιέργειες</w:t>
            </w:r>
            <w:proofErr w:type="spellEnd"/>
            <w:r w:rsidRPr="005963CA">
              <w:rPr>
                <w:rFonts w:cs="Arial"/>
                <w:lang w:val="el-GR"/>
              </w:rPr>
              <w:t xml:space="preserve">, με βαμβάκι στο επιστόμιο, αποστειρωμένες σε ατομική συσκευασία. </w:t>
            </w:r>
            <w:proofErr w:type="spellStart"/>
            <w:r>
              <w:rPr>
                <w:rFonts w:cs="Arial"/>
              </w:rPr>
              <w:t>Συσκευ</w:t>
            </w:r>
            <w:proofErr w:type="spellEnd"/>
            <w:r>
              <w:rPr>
                <w:rFonts w:cs="Arial"/>
              </w:rPr>
              <w:t>ασία: 100/</w:t>
            </w:r>
            <w:proofErr w:type="spellStart"/>
            <w:r>
              <w:rPr>
                <w:rFonts w:cs="Arial"/>
              </w:rPr>
              <w:t>Pk</w:t>
            </w:r>
            <w:proofErr w:type="spellEnd"/>
            <w:r>
              <w:rPr>
                <w:rFonts w:cs="Arial"/>
              </w:rPr>
              <w:t>, 1000/Case.</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1591"/>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22</w:t>
            </w:r>
          </w:p>
        </w:tc>
        <w:tc>
          <w:tcPr>
            <w:tcW w:w="5342" w:type="dxa"/>
            <w:shd w:val="clear" w:color="auto" w:fill="auto"/>
            <w:vAlign w:val="center"/>
            <w:hideMark/>
          </w:tcPr>
          <w:p w:rsidR="00E944C7" w:rsidRDefault="00E944C7" w:rsidP="00AE0313">
            <w:pPr>
              <w:rPr>
                <w:rFonts w:cs="Arial"/>
              </w:rPr>
            </w:pPr>
            <w:r w:rsidRPr="005963CA">
              <w:rPr>
                <w:rFonts w:cs="Arial"/>
                <w:lang w:val="el-GR"/>
              </w:rPr>
              <w:t>Κωνικά φυγοκεντρικά σωληνάρια 50</w:t>
            </w:r>
            <w:r>
              <w:rPr>
                <w:rFonts w:cs="Arial"/>
              </w:rPr>
              <w:t>ml</w:t>
            </w:r>
            <w:r w:rsidRPr="005963CA">
              <w:rPr>
                <w:rFonts w:cs="Arial"/>
                <w:lang w:val="el-GR"/>
              </w:rPr>
              <w:t xml:space="preserve">, 114 </w:t>
            </w:r>
            <w:r>
              <w:rPr>
                <w:rFonts w:cs="Arial"/>
              </w:rPr>
              <w:t>x</w:t>
            </w:r>
            <w:r w:rsidRPr="005963CA">
              <w:rPr>
                <w:rFonts w:cs="Arial"/>
                <w:lang w:val="el-GR"/>
              </w:rPr>
              <w:t xml:space="preserve"> 28</w:t>
            </w:r>
            <w:r>
              <w:rPr>
                <w:rFonts w:cs="Arial"/>
              </w:rPr>
              <w:t>mm</w:t>
            </w:r>
            <w:r w:rsidRPr="005963CA">
              <w:rPr>
                <w:rFonts w:cs="Arial"/>
                <w:lang w:val="el-GR"/>
              </w:rPr>
              <w:t xml:space="preserve">, βαθμονομημένα, με χώρο για αναγραφή στοιχείων και βιδωτό πώμα που συμπεριλαμβάνεται στην </w:t>
            </w:r>
            <w:proofErr w:type="spellStart"/>
            <w:r w:rsidRPr="005963CA">
              <w:rPr>
                <w:rFonts w:cs="Arial"/>
                <w:lang w:val="el-GR"/>
              </w:rPr>
              <w:t>συσκευσία</w:t>
            </w:r>
            <w:proofErr w:type="spellEnd"/>
            <w:r w:rsidRPr="005963CA">
              <w:rPr>
                <w:rFonts w:cs="Arial"/>
                <w:lang w:val="el-GR"/>
              </w:rPr>
              <w:t xml:space="preserve">, από πολυπροπυλένιο (ΡΡ). Ανθεκτικά σε </w:t>
            </w:r>
            <w:proofErr w:type="spellStart"/>
            <w:r w:rsidRPr="005963CA">
              <w:rPr>
                <w:rFonts w:cs="Arial"/>
                <w:lang w:val="el-GR"/>
              </w:rPr>
              <w:t>φυγοκέντριση</w:t>
            </w:r>
            <w:proofErr w:type="spellEnd"/>
            <w:r w:rsidRPr="005963CA">
              <w:rPr>
                <w:rFonts w:cs="Arial"/>
                <w:lang w:val="el-GR"/>
              </w:rPr>
              <w:t xml:space="preserve"> 15.500 </w:t>
            </w:r>
            <w:r>
              <w:rPr>
                <w:rFonts w:cs="Arial"/>
              </w:rPr>
              <w:t>x</w:t>
            </w:r>
            <w:r w:rsidRPr="005963CA">
              <w:rPr>
                <w:rFonts w:cs="Arial"/>
                <w:lang w:val="el-GR"/>
              </w:rPr>
              <w:t xml:space="preserve"> </w:t>
            </w:r>
            <w:r>
              <w:rPr>
                <w:rFonts w:cs="Arial"/>
              </w:rPr>
              <w:t>g</w:t>
            </w:r>
            <w:r w:rsidRPr="005963CA">
              <w:rPr>
                <w:rFonts w:cs="Arial"/>
                <w:lang w:val="el-GR"/>
              </w:rPr>
              <w:t xml:space="preserve">. Αποστειρωμένα, </w:t>
            </w:r>
            <w:r>
              <w:rPr>
                <w:rFonts w:cs="Arial"/>
              </w:rPr>
              <w:t>non</w:t>
            </w:r>
            <w:r w:rsidRPr="005963CA">
              <w:rPr>
                <w:rFonts w:cs="Arial"/>
                <w:lang w:val="el-GR"/>
              </w:rPr>
              <w:t>-</w:t>
            </w:r>
            <w:r>
              <w:rPr>
                <w:rFonts w:cs="Arial"/>
              </w:rPr>
              <w:t>cytotoxic</w:t>
            </w:r>
            <w:r w:rsidRPr="005963CA">
              <w:rPr>
                <w:rFonts w:cs="Arial"/>
                <w:lang w:val="el-GR"/>
              </w:rPr>
              <w:t xml:space="preserve">, </w:t>
            </w:r>
            <w:r>
              <w:rPr>
                <w:rFonts w:cs="Arial"/>
              </w:rPr>
              <w:t>free</w:t>
            </w:r>
            <w:r w:rsidRPr="005963CA">
              <w:rPr>
                <w:rFonts w:cs="Arial"/>
                <w:lang w:val="el-GR"/>
              </w:rPr>
              <w:t xml:space="preserve"> </w:t>
            </w:r>
            <w:r>
              <w:rPr>
                <w:rFonts w:cs="Arial"/>
              </w:rPr>
              <w:t>from</w:t>
            </w:r>
            <w:r w:rsidRPr="005963CA">
              <w:rPr>
                <w:rFonts w:cs="Arial"/>
                <w:lang w:val="el-GR"/>
              </w:rPr>
              <w:t xml:space="preserve"> </w:t>
            </w:r>
            <w:r>
              <w:rPr>
                <w:rFonts w:cs="Arial"/>
              </w:rPr>
              <w:t>DNA</w:t>
            </w:r>
            <w:r w:rsidRPr="005963CA">
              <w:rPr>
                <w:rFonts w:cs="Arial"/>
                <w:lang w:val="el-GR"/>
              </w:rPr>
              <w:t xml:space="preserve">, </w:t>
            </w:r>
            <w:proofErr w:type="spellStart"/>
            <w:r>
              <w:rPr>
                <w:rFonts w:cs="Arial"/>
              </w:rPr>
              <w:t>DNase</w:t>
            </w:r>
            <w:proofErr w:type="spellEnd"/>
            <w:r w:rsidRPr="005963CA">
              <w:rPr>
                <w:rFonts w:cs="Arial"/>
                <w:lang w:val="el-GR"/>
              </w:rPr>
              <w:t xml:space="preserve">, </w:t>
            </w:r>
            <w:proofErr w:type="spellStart"/>
            <w:r>
              <w:rPr>
                <w:rFonts w:cs="Arial"/>
              </w:rPr>
              <w:t>RNase</w:t>
            </w:r>
            <w:proofErr w:type="spellEnd"/>
            <w:r w:rsidRPr="005963CA">
              <w:rPr>
                <w:rFonts w:cs="Arial"/>
                <w:lang w:val="el-GR"/>
              </w:rPr>
              <w:t xml:space="preserve"> και </w:t>
            </w:r>
            <w:proofErr w:type="spellStart"/>
            <w:r>
              <w:rPr>
                <w:rFonts w:cs="Arial"/>
              </w:rPr>
              <w:t>pyrogens</w:t>
            </w:r>
            <w:proofErr w:type="spellEnd"/>
            <w:r w:rsidRPr="005963CA">
              <w:rPr>
                <w:rFonts w:cs="Arial"/>
                <w:lang w:val="el-GR"/>
              </w:rPr>
              <w:t xml:space="preserve">. </w:t>
            </w:r>
            <w:proofErr w:type="spellStart"/>
            <w:r>
              <w:rPr>
                <w:rFonts w:cs="Arial"/>
              </w:rPr>
              <w:t>Συσκευ</w:t>
            </w:r>
            <w:proofErr w:type="spellEnd"/>
            <w:r>
              <w:rPr>
                <w:rFonts w:cs="Arial"/>
              </w:rPr>
              <w:t>ασία: 300/case.</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85"/>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23</w:t>
            </w:r>
          </w:p>
        </w:tc>
        <w:tc>
          <w:tcPr>
            <w:tcW w:w="5342" w:type="dxa"/>
            <w:shd w:val="clear" w:color="auto" w:fill="auto"/>
            <w:vAlign w:val="center"/>
            <w:hideMark/>
          </w:tcPr>
          <w:p w:rsidR="00E944C7" w:rsidRDefault="00E944C7" w:rsidP="00AE0313">
            <w:pPr>
              <w:rPr>
                <w:rFonts w:cs="Arial"/>
              </w:rPr>
            </w:pPr>
            <w:r w:rsidRPr="005963CA">
              <w:rPr>
                <w:rFonts w:cs="Arial"/>
                <w:lang w:val="el-GR"/>
              </w:rPr>
              <w:t>Κωνικά φυγοκεντρικά σωληνάρια 15</w:t>
            </w:r>
            <w:r>
              <w:rPr>
                <w:rFonts w:cs="Arial"/>
              </w:rPr>
              <w:t>ml</w:t>
            </w:r>
            <w:r w:rsidRPr="005963CA">
              <w:rPr>
                <w:rFonts w:cs="Arial"/>
                <w:lang w:val="el-GR"/>
              </w:rPr>
              <w:t xml:space="preserve">, 120 </w:t>
            </w:r>
            <w:r>
              <w:rPr>
                <w:rFonts w:cs="Arial"/>
              </w:rPr>
              <w:t>x</w:t>
            </w:r>
            <w:r w:rsidRPr="005963CA">
              <w:rPr>
                <w:rFonts w:cs="Arial"/>
                <w:lang w:val="el-GR"/>
              </w:rPr>
              <w:t xml:space="preserve"> 17</w:t>
            </w:r>
            <w:r>
              <w:rPr>
                <w:rFonts w:cs="Arial"/>
              </w:rPr>
              <w:t>mm</w:t>
            </w:r>
            <w:r w:rsidRPr="005963CA">
              <w:rPr>
                <w:rFonts w:cs="Arial"/>
                <w:lang w:val="el-GR"/>
              </w:rPr>
              <w:t xml:space="preserve">, βαθμονομημένα, με χώρο για αναγραφή στοιχείων και βιδωτό πώμα που συμπεριλαμβάνεται στην συσκευασία, </w:t>
            </w:r>
            <w:r w:rsidRPr="005963CA">
              <w:rPr>
                <w:rFonts w:cs="Arial"/>
                <w:lang w:val="el-GR"/>
              </w:rPr>
              <w:lastRenderedPageBreak/>
              <w:t xml:space="preserve">από πολυπροπυλένιο (ΡΡ). Ανθεκτικά σε </w:t>
            </w:r>
            <w:proofErr w:type="spellStart"/>
            <w:r w:rsidRPr="005963CA">
              <w:rPr>
                <w:rFonts w:cs="Arial"/>
                <w:lang w:val="el-GR"/>
              </w:rPr>
              <w:t>φυγοκέντριση</w:t>
            </w:r>
            <w:proofErr w:type="spellEnd"/>
            <w:r w:rsidRPr="005963CA">
              <w:rPr>
                <w:rFonts w:cs="Arial"/>
                <w:lang w:val="el-GR"/>
              </w:rPr>
              <w:t xml:space="preserve"> 15.500 </w:t>
            </w:r>
            <w:r>
              <w:rPr>
                <w:rFonts w:cs="Arial"/>
              </w:rPr>
              <w:t>x</w:t>
            </w:r>
            <w:r w:rsidRPr="005963CA">
              <w:rPr>
                <w:rFonts w:cs="Arial"/>
                <w:lang w:val="el-GR"/>
              </w:rPr>
              <w:t xml:space="preserve"> </w:t>
            </w:r>
            <w:r>
              <w:rPr>
                <w:rFonts w:cs="Arial"/>
              </w:rPr>
              <w:t>g</w:t>
            </w:r>
            <w:r w:rsidRPr="005963CA">
              <w:rPr>
                <w:rFonts w:cs="Arial"/>
                <w:lang w:val="el-GR"/>
              </w:rPr>
              <w:t xml:space="preserve">. Αποστειρωμένα, </w:t>
            </w:r>
            <w:r>
              <w:rPr>
                <w:rFonts w:cs="Arial"/>
              </w:rPr>
              <w:t>non</w:t>
            </w:r>
            <w:r w:rsidRPr="005963CA">
              <w:rPr>
                <w:rFonts w:cs="Arial"/>
                <w:lang w:val="el-GR"/>
              </w:rPr>
              <w:t>-</w:t>
            </w:r>
            <w:r>
              <w:rPr>
                <w:rFonts w:cs="Arial"/>
              </w:rPr>
              <w:t>cytotoxic</w:t>
            </w:r>
            <w:r w:rsidRPr="005963CA">
              <w:rPr>
                <w:rFonts w:cs="Arial"/>
                <w:lang w:val="el-GR"/>
              </w:rPr>
              <w:t xml:space="preserve">, </w:t>
            </w:r>
            <w:r>
              <w:rPr>
                <w:rFonts w:cs="Arial"/>
              </w:rPr>
              <w:t>free</w:t>
            </w:r>
            <w:r w:rsidRPr="005963CA">
              <w:rPr>
                <w:rFonts w:cs="Arial"/>
                <w:lang w:val="el-GR"/>
              </w:rPr>
              <w:t xml:space="preserve"> </w:t>
            </w:r>
            <w:r>
              <w:rPr>
                <w:rFonts w:cs="Arial"/>
              </w:rPr>
              <w:t>from</w:t>
            </w:r>
            <w:r w:rsidRPr="005963CA">
              <w:rPr>
                <w:rFonts w:cs="Arial"/>
                <w:lang w:val="el-GR"/>
              </w:rPr>
              <w:t xml:space="preserve"> </w:t>
            </w:r>
            <w:r>
              <w:rPr>
                <w:rFonts w:cs="Arial"/>
              </w:rPr>
              <w:t>DNA</w:t>
            </w:r>
            <w:r w:rsidRPr="005963CA">
              <w:rPr>
                <w:rFonts w:cs="Arial"/>
                <w:lang w:val="el-GR"/>
              </w:rPr>
              <w:t xml:space="preserve">, </w:t>
            </w:r>
            <w:proofErr w:type="spellStart"/>
            <w:r>
              <w:rPr>
                <w:rFonts w:cs="Arial"/>
              </w:rPr>
              <w:t>DNase</w:t>
            </w:r>
            <w:proofErr w:type="spellEnd"/>
            <w:r w:rsidRPr="005963CA">
              <w:rPr>
                <w:rFonts w:cs="Arial"/>
                <w:lang w:val="el-GR"/>
              </w:rPr>
              <w:t xml:space="preserve">, </w:t>
            </w:r>
            <w:proofErr w:type="spellStart"/>
            <w:r>
              <w:rPr>
                <w:rFonts w:cs="Arial"/>
              </w:rPr>
              <w:t>RNase</w:t>
            </w:r>
            <w:proofErr w:type="spellEnd"/>
            <w:r w:rsidRPr="005963CA">
              <w:rPr>
                <w:rFonts w:cs="Arial"/>
                <w:lang w:val="el-GR"/>
              </w:rPr>
              <w:t xml:space="preserve"> και </w:t>
            </w:r>
            <w:proofErr w:type="spellStart"/>
            <w:r>
              <w:rPr>
                <w:rFonts w:cs="Arial"/>
              </w:rPr>
              <w:t>pyrogens</w:t>
            </w:r>
            <w:proofErr w:type="spellEnd"/>
            <w:r w:rsidRPr="005963CA">
              <w:rPr>
                <w:rFonts w:cs="Arial"/>
                <w:lang w:val="el-GR"/>
              </w:rPr>
              <w:t xml:space="preserve">. </w:t>
            </w:r>
            <w:proofErr w:type="spellStart"/>
            <w:r>
              <w:rPr>
                <w:rFonts w:cs="Arial"/>
              </w:rPr>
              <w:t>Συσκευ</w:t>
            </w:r>
            <w:proofErr w:type="spellEnd"/>
            <w:r>
              <w:rPr>
                <w:rFonts w:cs="Arial"/>
              </w:rPr>
              <w:t>ασία: 500/case.</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416"/>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lastRenderedPageBreak/>
              <w:t>24</w:t>
            </w:r>
          </w:p>
        </w:tc>
        <w:tc>
          <w:tcPr>
            <w:tcW w:w="5342" w:type="dxa"/>
            <w:shd w:val="clear" w:color="auto" w:fill="auto"/>
            <w:vAlign w:val="center"/>
            <w:hideMark/>
          </w:tcPr>
          <w:p w:rsidR="00E944C7" w:rsidRDefault="00E944C7" w:rsidP="00AE0313">
            <w:pPr>
              <w:rPr>
                <w:rFonts w:cs="Arial"/>
              </w:rPr>
            </w:pPr>
            <w:r w:rsidRPr="005963CA">
              <w:rPr>
                <w:rFonts w:cs="Arial"/>
                <w:lang w:val="el-GR"/>
              </w:rPr>
              <w:t>Ρύγχη με φίλτρο, όγκου 0-20 μ</w:t>
            </w:r>
            <w:r>
              <w:rPr>
                <w:rFonts w:cs="Arial"/>
              </w:rPr>
              <w:t>L</w:t>
            </w:r>
            <w:r w:rsidRPr="005963CA">
              <w:rPr>
                <w:rFonts w:cs="Arial"/>
                <w:lang w:val="el-GR"/>
              </w:rPr>
              <w:t xml:space="preserve">, 96 </w:t>
            </w:r>
            <w:proofErr w:type="spellStart"/>
            <w:r w:rsidRPr="005963CA">
              <w:rPr>
                <w:rFonts w:cs="Arial"/>
                <w:lang w:val="el-GR"/>
              </w:rPr>
              <w:t>τεμ</w:t>
            </w:r>
            <w:proofErr w:type="spellEnd"/>
            <w:r w:rsidRPr="005963CA">
              <w:rPr>
                <w:rFonts w:cs="Arial"/>
                <w:lang w:val="el-GR"/>
              </w:rPr>
              <w:t>./κουτί, διαφανή, με διαγράμμιση, το εσωτερικό του ρύγχους έχει κατάλληλη επίστρωση για αποφυγή της δημιουργίας/κατακράτησης σταγονιδίων (</w:t>
            </w:r>
            <w:r>
              <w:rPr>
                <w:rFonts w:cs="Arial"/>
              </w:rPr>
              <w:t>premium</w:t>
            </w:r>
            <w:r w:rsidRPr="005963CA">
              <w:rPr>
                <w:rFonts w:cs="Arial"/>
                <w:lang w:val="el-GR"/>
              </w:rPr>
              <w:t xml:space="preserve"> </w:t>
            </w:r>
            <w:r>
              <w:rPr>
                <w:rFonts w:cs="Arial"/>
              </w:rPr>
              <w:t>surface</w:t>
            </w:r>
            <w:r w:rsidRPr="005963CA">
              <w:rPr>
                <w:rFonts w:cs="Arial"/>
                <w:lang w:val="el-GR"/>
              </w:rPr>
              <w:t>), αποστειρωμένα με γ-ακτινοβολία (</w:t>
            </w:r>
            <w:r>
              <w:rPr>
                <w:rFonts w:cs="Arial"/>
              </w:rPr>
              <w:t>SAL</w:t>
            </w:r>
            <w:r w:rsidRPr="005963CA">
              <w:rPr>
                <w:rFonts w:cs="Arial"/>
                <w:lang w:val="el-GR"/>
              </w:rPr>
              <w:t xml:space="preserve"> 10-6), </w:t>
            </w:r>
            <w:r>
              <w:rPr>
                <w:rFonts w:cs="Arial"/>
              </w:rPr>
              <w:t>CE</w:t>
            </w:r>
            <w:r w:rsidRPr="005963CA">
              <w:rPr>
                <w:rFonts w:cs="Arial"/>
                <w:lang w:val="el-GR"/>
              </w:rPr>
              <w:t>/</w:t>
            </w:r>
            <w:r>
              <w:rPr>
                <w:rFonts w:cs="Arial"/>
              </w:rPr>
              <w:t>IVD</w:t>
            </w:r>
            <w:r w:rsidRPr="005963CA">
              <w:rPr>
                <w:rFonts w:cs="Arial"/>
                <w:lang w:val="el-GR"/>
              </w:rPr>
              <w:t xml:space="preserve">. Να έχουν κατασκευαστεί σε </w:t>
            </w:r>
            <w:r>
              <w:rPr>
                <w:rFonts w:cs="Arial"/>
              </w:rPr>
              <w:t>clean</w:t>
            </w:r>
            <w:r w:rsidRPr="005963CA">
              <w:rPr>
                <w:rFonts w:cs="Arial"/>
                <w:lang w:val="el-GR"/>
              </w:rPr>
              <w:t xml:space="preserve"> </w:t>
            </w:r>
            <w:r>
              <w:rPr>
                <w:rFonts w:cs="Arial"/>
              </w:rPr>
              <w:t>room</w:t>
            </w:r>
            <w:r w:rsidRPr="005963CA">
              <w:rPr>
                <w:rFonts w:cs="Arial"/>
                <w:lang w:val="el-GR"/>
              </w:rPr>
              <w:t xml:space="preserve"> με </w:t>
            </w:r>
            <w:r>
              <w:rPr>
                <w:rFonts w:cs="Arial"/>
              </w:rPr>
              <w:t>ISO</w:t>
            </w:r>
            <w:r w:rsidRPr="005963CA">
              <w:rPr>
                <w:rFonts w:cs="Arial"/>
                <w:lang w:val="el-GR"/>
              </w:rPr>
              <w:t xml:space="preserve"> </w:t>
            </w:r>
            <w:r>
              <w:rPr>
                <w:rFonts w:cs="Arial"/>
              </w:rPr>
              <w:t>Class</w:t>
            </w:r>
            <w:r w:rsidRPr="005963CA">
              <w:rPr>
                <w:rFonts w:cs="Arial"/>
                <w:lang w:val="el-GR"/>
              </w:rPr>
              <w:t xml:space="preserve"> 8 ή μεγαλύτερο (σύμφωνα με την οδηγία </w:t>
            </w:r>
            <w:r>
              <w:rPr>
                <w:rFonts w:cs="Arial"/>
              </w:rPr>
              <w:t>DIN</w:t>
            </w:r>
            <w:r w:rsidRPr="005963CA">
              <w:rPr>
                <w:rFonts w:cs="Arial"/>
                <w:lang w:val="el-GR"/>
              </w:rPr>
              <w:t xml:space="preserve"> </w:t>
            </w:r>
            <w:r>
              <w:rPr>
                <w:rFonts w:cs="Arial"/>
              </w:rPr>
              <w:t>EN</w:t>
            </w:r>
            <w:r w:rsidRPr="005963CA">
              <w:rPr>
                <w:rFonts w:cs="Arial"/>
                <w:lang w:val="el-GR"/>
              </w:rPr>
              <w:t xml:space="preserve"> </w:t>
            </w:r>
            <w:r>
              <w:rPr>
                <w:rFonts w:cs="Arial"/>
              </w:rPr>
              <w:t>ISO</w:t>
            </w:r>
            <w:r w:rsidRPr="005963CA">
              <w:rPr>
                <w:rFonts w:cs="Arial"/>
                <w:lang w:val="el-GR"/>
              </w:rPr>
              <w:t xml:space="preserve"> 14644-1). Μήκος: 50,80 </w:t>
            </w:r>
            <w:r>
              <w:rPr>
                <w:rFonts w:cs="Arial"/>
              </w:rPr>
              <w:t>mm</w:t>
            </w:r>
            <w:r w:rsidRPr="005963CA">
              <w:rPr>
                <w:rFonts w:cs="Arial"/>
                <w:lang w:val="el-GR"/>
              </w:rPr>
              <w:t xml:space="preserve"> (+/- 0.2 </w:t>
            </w:r>
            <w:r>
              <w:rPr>
                <w:rFonts w:cs="Arial"/>
              </w:rPr>
              <w:t>mm</w:t>
            </w:r>
            <w:r w:rsidRPr="005963CA">
              <w:rPr>
                <w:rFonts w:cs="Arial"/>
                <w:lang w:val="el-GR"/>
              </w:rPr>
              <w:t>). Το φίλτρο του ρύγχους είναι κατασκευασμένο από υψηλής πυκνότητας πολυαιθυλένιο (</w:t>
            </w:r>
            <w:r>
              <w:rPr>
                <w:rFonts w:cs="Arial"/>
              </w:rPr>
              <w:t>HDPE</w:t>
            </w:r>
            <w:r w:rsidRPr="005963CA">
              <w:rPr>
                <w:rFonts w:cs="Arial"/>
                <w:lang w:val="el-GR"/>
              </w:rPr>
              <w:t>) με διάμετρο πόρων 10-15 μ</w:t>
            </w:r>
            <w:r>
              <w:rPr>
                <w:rFonts w:cs="Arial"/>
              </w:rPr>
              <w:t>m</w:t>
            </w:r>
            <w:r w:rsidRPr="005963CA">
              <w:rPr>
                <w:rFonts w:cs="Arial"/>
                <w:lang w:val="el-GR"/>
              </w:rPr>
              <w:t>, ώστε να εξαλειφθεί ο κίνδυνος δια-μόλυνσης (</w:t>
            </w:r>
            <w:r>
              <w:rPr>
                <w:rFonts w:cs="Arial"/>
              </w:rPr>
              <w:t>cross</w:t>
            </w:r>
            <w:r w:rsidRPr="005963CA">
              <w:rPr>
                <w:rFonts w:cs="Arial"/>
                <w:lang w:val="el-GR"/>
              </w:rPr>
              <w:t>-</w:t>
            </w:r>
            <w:r>
              <w:rPr>
                <w:rFonts w:cs="Arial"/>
              </w:rPr>
              <w:t>contamination</w:t>
            </w:r>
            <w:r w:rsidRPr="005963CA">
              <w:rPr>
                <w:rFonts w:cs="Arial"/>
                <w:lang w:val="el-GR"/>
              </w:rPr>
              <w:t xml:space="preserve">). Δεν περιέχουν </w:t>
            </w:r>
            <w:proofErr w:type="spellStart"/>
            <w:r w:rsidRPr="005963CA">
              <w:rPr>
                <w:rFonts w:cs="Arial"/>
                <w:lang w:val="el-GR"/>
              </w:rPr>
              <w:t>βαρέα</w:t>
            </w:r>
            <w:proofErr w:type="spellEnd"/>
            <w:r w:rsidRPr="005963CA">
              <w:rPr>
                <w:rFonts w:cs="Arial"/>
                <w:lang w:val="el-GR"/>
              </w:rPr>
              <w:t xml:space="preserve"> μέταλλα σύμφωνα με την οδηγία </w:t>
            </w:r>
            <w:r>
              <w:rPr>
                <w:rFonts w:cs="Arial"/>
              </w:rPr>
              <w:t>EC</w:t>
            </w:r>
            <w:r w:rsidRPr="005963CA">
              <w:rPr>
                <w:rFonts w:cs="Arial"/>
                <w:lang w:val="el-GR"/>
              </w:rPr>
              <w:t xml:space="preserve">/94/62. Ελεύθερα από αναστολείς </w:t>
            </w:r>
            <w:r>
              <w:rPr>
                <w:rFonts w:cs="Arial"/>
              </w:rPr>
              <w:t>PCR</w:t>
            </w:r>
            <w:r w:rsidRPr="005963CA">
              <w:rPr>
                <w:rFonts w:cs="Arial"/>
                <w:lang w:val="el-GR"/>
              </w:rPr>
              <w:t xml:space="preserve">, ανθρώπινο </w:t>
            </w:r>
            <w:r>
              <w:rPr>
                <w:rFonts w:cs="Arial"/>
              </w:rPr>
              <w:t>DNA</w:t>
            </w:r>
            <w:r w:rsidRPr="005963CA">
              <w:rPr>
                <w:rFonts w:cs="Arial"/>
                <w:lang w:val="el-GR"/>
              </w:rPr>
              <w:t xml:space="preserve">, </w:t>
            </w:r>
            <w:proofErr w:type="spellStart"/>
            <w:r>
              <w:rPr>
                <w:rFonts w:cs="Arial"/>
              </w:rPr>
              <w:t>Rnase</w:t>
            </w:r>
            <w:proofErr w:type="spellEnd"/>
            <w:r w:rsidRPr="005963CA">
              <w:rPr>
                <w:rFonts w:cs="Arial"/>
                <w:lang w:val="el-GR"/>
              </w:rPr>
              <w:t xml:space="preserve"> &amp; </w:t>
            </w:r>
            <w:proofErr w:type="spellStart"/>
            <w:r>
              <w:rPr>
                <w:rFonts w:cs="Arial"/>
              </w:rPr>
              <w:t>DNase</w:t>
            </w:r>
            <w:proofErr w:type="spellEnd"/>
            <w:r w:rsidRPr="005963CA">
              <w:rPr>
                <w:rFonts w:cs="Arial"/>
                <w:lang w:val="el-GR"/>
              </w:rPr>
              <w:t xml:space="preserve">, </w:t>
            </w:r>
            <w:r>
              <w:rPr>
                <w:rFonts w:cs="Arial"/>
              </w:rPr>
              <w:t>ATP</w:t>
            </w:r>
            <w:r w:rsidRPr="005963CA">
              <w:rPr>
                <w:rFonts w:cs="Arial"/>
                <w:lang w:val="el-GR"/>
              </w:rPr>
              <w:t xml:space="preserve">, πυρετογόνα και </w:t>
            </w:r>
            <w:proofErr w:type="spellStart"/>
            <w:r w:rsidRPr="005963CA">
              <w:rPr>
                <w:rFonts w:cs="Arial"/>
                <w:lang w:val="el-GR"/>
              </w:rPr>
              <w:t>ενδοτοξίνες</w:t>
            </w:r>
            <w:proofErr w:type="spellEnd"/>
            <w:r w:rsidRPr="005963CA">
              <w:rPr>
                <w:rFonts w:cs="Arial"/>
                <w:lang w:val="el-GR"/>
              </w:rPr>
              <w:t xml:space="preserve">. </w:t>
            </w:r>
            <w:proofErr w:type="spellStart"/>
            <w:r>
              <w:rPr>
                <w:rFonts w:cs="Arial"/>
              </w:rPr>
              <w:t>Συσκευ</w:t>
            </w:r>
            <w:proofErr w:type="spellEnd"/>
            <w:r>
              <w:rPr>
                <w:rFonts w:cs="Arial"/>
              </w:rPr>
              <w:t xml:space="preserve">ασία </w:t>
            </w:r>
            <w:proofErr w:type="spellStart"/>
            <w:r>
              <w:rPr>
                <w:rFonts w:cs="Arial"/>
              </w:rPr>
              <w:t>των</w:t>
            </w:r>
            <w:proofErr w:type="spellEnd"/>
            <w:r>
              <w:rPr>
                <w:rFonts w:cs="Arial"/>
              </w:rPr>
              <w:t xml:space="preserve"> 10 </w:t>
            </w:r>
            <w:proofErr w:type="spellStart"/>
            <w:r>
              <w:rPr>
                <w:rFonts w:cs="Arial"/>
              </w:rPr>
              <w:t>κουτιών</w:t>
            </w:r>
            <w:proofErr w:type="spellEnd"/>
            <w:r>
              <w:rPr>
                <w:rFonts w:cs="Arial"/>
              </w:rPr>
              <w:t xml:space="preserve"> (96 </w:t>
            </w:r>
            <w:proofErr w:type="spellStart"/>
            <w:r>
              <w:rPr>
                <w:rFonts w:cs="Arial"/>
              </w:rPr>
              <w:t>τεμ</w:t>
            </w:r>
            <w:proofErr w:type="spellEnd"/>
            <w:proofErr w:type="gramStart"/>
            <w:r>
              <w:rPr>
                <w:rFonts w:cs="Arial"/>
              </w:rPr>
              <w:t>./</w:t>
            </w:r>
            <w:proofErr w:type="spellStart"/>
            <w:proofErr w:type="gramEnd"/>
            <w:r>
              <w:rPr>
                <w:rFonts w:cs="Arial"/>
              </w:rPr>
              <w:t>κουτί</w:t>
            </w:r>
            <w:proofErr w:type="spellEnd"/>
            <w:r>
              <w:rPr>
                <w:rFonts w:cs="Arial"/>
              </w:rPr>
              <w:t>).</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840"/>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25</w:t>
            </w:r>
          </w:p>
        </w:tc>
        <w:tc>
          <w:tcPr>
            <w:tcW w:w="5342" w:type="dxa"/>
            <w:shd w:val="clear" w:color="auto" w:fill="auto"/>
            <w:vAlign w:val="center"/>
            <w:hideMark/>
          </w:tcPr>
          <w:p w:rsidR="00E944C7" w:rsidRDefault="00E944C7" w:rsidP="00AE0313">
            <w:pPr>
              <w:rPr>
                <w:rFonts w:cs="Arial"/>
                <w:color w:val="000000"/>
              </w:rPr>
            </w:pPr>
            <w:r w:rsidRPr="005963CA">
              <w:rPr>
                <w:rFonts w:cs="Arial"/>
                <w:color w:val="000000"/>
                <w:lang w:val="el-GR"/>
              </w:rPr>
              <w:t>Ρύγχη με φίλτρο, όγκου 0- 200μ</w:t>
            </w:r>
            <w:r>
              <w:rPr>
                <w:rFonts w:cs="Arial"/>
                <w:color w:val="000000"/>
              </w:rPr>
              <w:t>L</w:t>
            </w:r>
            <w:r w:rsidRPr="005963CA">
              <w:rPr>
                <w:rFonts w:cs="Arial"/>
                <w:color w:val="000000"/>
                <w:lang w:val="el-GR"/>
              </w:rPr>
              <w:t>, διαφανή, με διαγράμμιση. Το εσωτερικό του ρύγχους να έχει κατάλληλη επίστρωση για την αποφυγή δημιουργίας/κατακράτησης σταγονιδίων (</w:t>
            </w:r>
            <w:r>
              <w:rPr>
                <w:rFonts w:cs="Arial"/>
                <w:color w:val="000000"/>
              </w:rPr>
              <w:t>premium</w:t>
            </w:r>
            <w:r w:rsidRPr="005963CA">
              <w:rPr>
                <w:rFonts w:cs="Arial"/>
                <w:color w:val="000000"/>
                <w:lang w:val="el-GR"/>
              </w:rPr>
              <w:t xml:space="preserve"> </w:t>
            </w:r>
            <w:r>
              <w:rPr>
                <w:rFonts w:cs="Arial"/>
                <w:color w:val="000000"/>
              </w:rPr>
              <w:t>surface</w:t>
            </w:r>
            <w:r w:rsidRPr="005963CA">
              <w:rPr>
                <w:rFonts w:cs="Arial"/>
                <w:color w:val="000000"/>
                <w:lang w:val="el-GR"/>
              </w:rPr>
              <w:t>), αποστειρωμένα με γ-ακτινοβολία (</w:t>
            </w:r>
            <w:r>
              <w:rPr>
                <w:rFonts w:cs="Arial"/>
                <w:color w:val="000000"/>
              </w:rPr>
              <w:t>SAL</w:t>
            </w:r>
            <w:r w:rsidRPr="005963CA">
              <w:rPr>
                <w:rFonts w:cs="Arial"/>
                <w:color w:val="000000"/>
                <w:lang w:val="el-GR"/>
              </w:rPr>
              <w:t xml:space="preserve"> 10-6), </w:t>
            </w:r>
            <w:r>
              <w:rPr>
                <w:rFonts w:cs="Arial"/>
                <w:color w:val="000000"/>
              </w:rPr>
              <w:t>CE</w:t>
            </w:r>
            <w:r w:rsidRPr="005963CA">
              <w:rPr>
                <w:rFonts w:cs="Arial"/>
                <w:color w:val="000000"/>
                <w:lang w:val="el-GR"/>
              </w:rPr>
              <w:t>/</w:t>
            </w:r>
            <w:r>
              <w:rPr>
                <w:rFonts w:cs="Arial"/>
                <w:color w:val="000000"/>
              </w:rPr>
              <w:t>IVD</w:t>
            </w:r>
            <w:r w:rsidRPr="005963CA">
              <w:rPr>
                <w:rFonts w:cs="Arial"/>
                <w:color w:val="000000"/>
                <w:lang w:val="el-GR"/>
              </w:rPr>
              <w:t xml:space="preserve">. Να έχουν κατασκευαστεί σε </w:t>
            </w:r>
            <w:r>
              <w:rPr>
                <w:rFonts w:cs="Arial"/>
                <w:color w:val="000000"/>
              </w:rPr>
              <w:t>clean</w:t>
            </w:r>
            <w:r w:rsidRPr="005963CA">
              <w:rPr>
                <w:rFonts w:cs="Arial"/>
                <w:color w:val="000000"/>
                <w:lang w:val="el-GR"/>
              </w:rPr>
              <w:t xml:space="preserve"> </w:t>
            </w:r>
            <w:r>
              <w:rPr>
                <w:rFonts w:cs="Arial"/>
                <w:color w:val="000000"/>
              </w:rPr>
              <w:t>room</w:t>
            </w:r>
            <w:r w:rsidRPr="005963CA">
              <w:rPr>
                <w:rFonts w:cs="Arial"/>
                <w:color w:val="000000"/>
                <w:lang w:val="el-GR"/>
              </w:rPr>
              <w:t xml:space="preserve"> με </w:t>
            </w:r>
            <w:r>
              <w:rPr>
                <w:rFonts w:cs="Arial"/>
                <w:color w:val="000000"/>
              </w:rPr>
              <w:t>ISO</w:t>
            </w:r>
            <w:r w:rsidRPr="005963CA">
              <w:rPr>
                <w:rFonts w:cs="Arial"/>
                <w:color w:val="000000"/>
                <w:lang w:val="el-GR"/>
              </w:rPr>
              <w:t xml:space="preserve"> </w:t>
            </w:r>
            <w:r>
              <w:rPr>
                <w:rFonts w:cs="Arial"/>
                <w:color w:val="000000"/>
              </w:rPr>
              <w:t>Class</w:t>
            </w:r>
            <w:r w:rsidRPr="005963CA">
              <w:rPr>
                <w:rFonts w:cs="Arial"/>
                <w:color w:val="000000"/>
                <w:lang w:val="el-GR"/>
              </w:rPr>
              <w:t xml:space="preserve"> 8 ή μεγαλύτερο (σύμφωνα με την οδηγία </w:t>
            </w:r>
            <w:r>
              <w:rPr>
                <w:rFonts w:cs="Arial"/>
                <w:color w:val="000000"/>
              </w:rPr>
              <w:t>DIN</w:t>
            </w:r>
            <w:r w:rsidRPr="005963CA">
              <w:rPr>
                <w:rFonts w:cs="Arial"/>
                <w:color w:val="000000"/>
                <w:lang w:val="el-GR"/>
              </w:rPr>
              <w:t xml:space="preserve"> </w:t>
            </w:r>
            <w:r>
              <w:rPr>
                <w:rFonts w:cs="Arial"/>
                <w:color w:val="000000"/>
              </w:rPr>
              <w:t>EN</w:t>
            </w:r>
            <w:r w:rsidRPr="005963CA">
              <w:rPr>
                <w:rFonts w:cs="Arial"/>
                <w:color w:val="000000"/>
                <w:lang w:val="el-GR"/>
              </w:rPr>
              <w:t xml:space="preserve"> </w:t>
            </w:r>
            <w:r>
              <w:rPr>
                <w:rFonts w:cs="Arial"/>
                <w:color w:val="000000"/>
              </w:rPr>
              <w:t>ISO</w:t>
            </w:r>
            <w:r w:rsidRPr="005963CA">
              <w:rPr>
                <w:rFonts w:cs="Arial"/>
                <w:color w:val="000000"/>
                <w:lang w:val="el-GR"/>
              </w:rPr>
              <w:t xml:space="preserve"> 14644-1). Μήκος: 59,54 </w:t>
            </w:r>
            <w:r>
              <w:rPr>
                <w:rFonts w:cs="Arial"/>
                <w:color w:val="000000"/>
              </w:rPr>
              <w:t>mm</w:t>
            </w:r>
            <w:r w:rsidRPr="005963CA">
              <w:rPr>
                <w:rFonts w:cs="Arial"/>
                <w:color w:val="000000"/>
                <w:lang w:val="el-GR"/>
              </w:rPr>
              <w:t xml:space="preserve"> (+/- 0.2 </w:t>
            </w:r>
            <w:r>
              <w:rPr>
                <w:rFonts w:cs="Arial"/>
                <w:color w:val="000000"/>
              </w:rPr>
              <w:t>mm</w:t>
            </w:r>
            <w:r w:rsidRPr="005963CA">
              <w:rPr>
                <w:rFonts w:cs="Arial"/>
                <w:color w:val="000000"/>
                <w:lang w:val="el-GR"/>
              </w:rPr>
              <w:t>). Το φίλτρο του ρύγχους να είναι κατασκευασμένο από υψηλής πυκνότητας πολυαιθυλένιο (</w:t>
            </w:r>
            <w:r>
              <w:rPr>
                <w:rFonts w:cs="Arial"/>
                <w:color w:val="000000"/>
              </w:rPr>
              <w:t>HDPE</w:t>
            </w:r>
            <w:r w:rsidRPr="005963CA">
              <w:rPr>
                <w:rFonts w:cs="Arial"/>
                <w:color w:val="000000"/>
                <w:lang w:val="el-GR"/>
              </w:rPr>
              <w:t>) με διάμετρο πόρων 10-15 μ</w:t>
            </w:r>
            <w:r>
              <w:rPr>
                <w:rFonts w:cs="Arial"/>
                <w:color w:val="000000"/>
              </w:rPr>
              <w:t>m</w:t>
            </w:r>
            <w:r w:rsidRPr="005963CA">
              <w:rPr>
                <w:rFonts w:cs="Arial"/>
                <w:color w:val="000000"/>
                <w:lang w:val="el-GR"/>
              </w:rPr>
              <w:t>, ώστε να εξαλειφθεί ο κίνδυνος δια-μόλυνσης (</w:t>
            </w:r>
            <w:r>
              <w:rPr>
                <w:rFonts w:cs="Arial"/>
                <w:color w:val="000000"/>
              </w:rPr>
              <w:t>cross</w:t>
            </w:r>
            <w:r w:rsidRPr="005963CA">
              <w:rPr>
                <w:rFonts w:cs="Arial"/>
                <w:color w:val="000000"/>
                <w:lang w:val="el-GR"/>
              </w:rPr>
              <w:t>-</w:t>
            </w:r>
            <w:r>
              <w:rPr>
                <w:rFonts w:cs="Arial"/>
                <w:color w:val="000000"/>
              </w:rPr>
              <w:t>contamination</w:t>
            </w:r>
            <w:r w:rsidRPr="005963CA">
              <w:rPr>
                <w:rFonts w:cs="Arial"/>
                <w:color w:val="000000"/>
                <w:lang w:val="el-GR"/>
              </w:rPr>
              <w:t xml:space="preserve">). Να μην περιέχουν </w:t>
            </w:r>
            <w:proofErr w:type="spellStart"/>
            <w:r w:rsidRPr="005963CA">
              <w:rPr>
                <w:rFonts w:cs="Arial"/>
                <w:color w:val="000000"/>
                <w:lang w:val="el-GR"/>
              </w:rPr>
              <w:t>βαρέα</w:t>
            </w:r>
            <w:proofErr w:type="spellEnd"/>
            <w:r w:rsidRPr="005963CA">
              <w:rPr>
                <w:rFonts w:cs="Arial"/>
                <w:color w:val="000000"/>
                <w:lang w:val="el-GR"/>
              </w:rPr>
              <w:t xml:space="preserve"> μέταλλα σύμφωνα με την οδηγία </w:t>
            </w:r>
            <w:r>
              <w:rPr>
                <w:rFonts w:cs="Arial"/>
                <w:color w:val="000000"/>
              </w:rPr>
              <w:t>EC</w:t>
            </w:r>
            <w:r w:rsidRPr="005963CA">
              <w:rPr>
                <w:rFonts w:cs="Arial"/>
                <w:color w:val="000000"/>
                <w:lang w:val="el-GR"/>
              </w:rPr>
              <w:t xml:space="preserve">/94/62. Ελεύθερα από αναστολείς </w:t>
            </w:r>
            <w:r>
              <w:rPr>
                <w:rFonts w:cs="Arial"/>
                <w:color w:val="000000"/>
              </w:rPr>
              <w:t>PCR</w:t>
            </w:r>
            <w:r w:rsidRPr="005963CA">
              <w:rPr>
                <w:rFonts w:cs="Arial"/>
                <w:color w:val="000000"/>
                <w:lang w:val="el-GR"/>
              </w:rPr>
              <w:t xml:space="preserve">, ανθρώπινο </w:t>
            </w:r>
            <w:r>
              <w:rPr>
                <w:rFonts w:cs="Arial"/>
                <w:color w:val="000000"/>
              </w:rPr>
              <w:t>DNA</w:t>
            </w:r>
            <w:r w:rsidRPr="005963CA">
              <w:rPr>
                <w:rFonts w:cs="Arial"/>
                <w:color w:val="000000"/>
                <w:lang w:val="el-GR"/>
              </w:rPr>
              <w:t xml:space="preserve">, </w:t>
            </w:r>
            <w:proofErr w:type="spellStart"/>
            <w:r>
              <w:rPr>
                <w:rFonts w:cs="Arial"/>
                <w:color w:val="000000"/>
              </w:rPr>
              <w:t>Rnase</w:t>
            </w:r>
            <w:proofErr w:type="spellEnd"/>
            <w:r w:rsidRPr="005963CA">
              <w:rPr>
                <w:rFonts w:cs="Arial"/>
                <w:color w:val="000000"/>
                <w:lang w:val="el-GR"/>
              </w:rPr>
              <w:t xml:space="preserve"> &amp; </w:t>
            </w:r>
            <w:proofErr w:type="spellStart"/>
            <w:r>
              <w:rPr>
                <w:rFonts w:cs="Arial"/>
                <w:color w:val="000000"/>
              </w:rPr>
              <w:t>DNase</w:t>
            </w:r>
            <w:proofErr w:type="spellEnd"/>
            <w:r w:rsidRPr="005963CA">
              <w:rPr>
                <w:rFonts w:cs="Arial"/>
                <w:color w:val="000000"/>
                <w:lang w:val="el-GR"/>
              </w:rPr>
              <w:t xml:space="preserve">, </w:t>
            </w:r>
            <w:r>
              <w:rPr>
                <w:rFonts w:cs="Arial"/>
                <w:color w:val="000000"/>
              </w:rPr>
              <w:t>ATP</w:t>
            </w:r>
            <w:r w:rsidRPr="005963CA">
              <w:rPr>
                <w:rFonts w:cs="Arial"/>
                <w:color w:val="000000"/>
                <w:lang w:val="el-GR"/>
              </w:rPr>
              <w:t xml:space="preserve">, πυρετογόνα και </w:t>
            </w:r>
            <w:proofErr w:type="spellStart"/>
            <w:r w:rsidRPr="005963CA">
              <w:rPr>
                <w:rFonts w:cs="Arial"/>
                <w:color w:val="000000"/>
                <w:lang w:val="el-GR"/>
              </w:rPr>
              <w:t>ενδοτοξίνες</w:t>
            </w:r>
            <w:proofErr w:type="spellEnd"/>
            <w:r w:rsidRPr="005963CA">
              <w:rPr>
                <w:rFonts w:cs="Arial"/>
                <w:color w:val="000000"/>
                <w:lang w:val="el-GR"/>
              </w:rPr>
              <w:t xml:space="preserve">. </w:t>
            </w:r>
            <w:proofErr w:type="spellStart"/>
            <w:r>
              <w:rPr>
                <w:rFonts w:cs="Arial"/>
                <w:color w:val="000000"/>
              </w:rPr>
              <w:t>Συσκευ</w:t>
            </w:r>
            <w:proofErr w:type="spellEnd"/>
            <w:r>
              <w:rPr>
                <w:rFonts w:cs="Arial"/>
                <w:color w:val="000000"/>
              </w:rPr>
              <w:t xml:space="preserve">ασία </w:t>
            </w:r>
            <w:proofErr w:type="spellStart"/>
            <w:r>
              <w:rPr>
                <w:rFonts w:cs="Arial"/>
                <w:color w:val="000000"/>
              </w:rPr>
              <w:t>των</w:t>
            </w:r>
            <w:proofErr w:type="spellEnd"/>
            <w:r>
              <w:rPr>
                <w:rFonts w:cs="Arial"/>
                <w:color w:val="000000"/>
              </w:rPr>
              <w:t xml:space="preserve"> 10 </w:t>
            </w:r>
            <w:proofErr w:type="spellStart"/>
            <w:r>
              <w:rPr>
                <w:rFonts w:cs="Arial"/>
                <w:color w:val="000000"/>
              </w:rPr>
              <w:t>κουτιών</w:t>
            </w:r>
            <w:proofErr w:type="spellEnd"/>
            <w:r>
              <w:rPr>
                <w:rFonts w:cs="Arial"/>
                <w:color w:val="000000"/>
              </w:rPr>
              <w:t xml:space="preserve"> (96 </w:t>
            </w:r>
            <w:proofErr w:type="spellStart"/>
            <w:r>
              <w:rPr>
                <w:rFonts w:cs="Arial"/>
                <w:color w:val="000000"/>
              </w:rPr>
              <w:t>τεμ</w:t>
            </w:r>
            <w:proofErr w:type="spellEnd"/>
            <w:proofErr w:type="gramStart"/>
            <w:r>
              <w:rPr>
                <w:rFonts w:cs="Arial"/>
                <w:color w:val="000000"/>
              </w:rPr>
              <w:t>./</w:t>
            </w:r>
            <w:proofErr w:type="spellStart"/>
            <w:proofErr w:type="gramEnd"/>
            <w:r>
              <w:rPr>
                <w:rFonts w:cs="Arial"/>
                <w:color w:val="000000"/>
              </w:rPr>
              <w:t>κουτί</w:t>
            </w:r>
            <w:proofErr w:type="spellEnd"/>
            <w:r>
              <w:rPr>
                <w:rFonts w:cs="Arial"/>
                <w:color w:val="000000"/>
              </w:rPr>
              <w:t>).</w:t>
            </w:r>
          </w:p>
        </w:tc>
        <w:tc>
          <w:tcPr>
            <w:tcW w:w="1134" w:type="dxa"/>
          </w:tcPr>
          <w:p w:rsidR="00E944C7" w:rsidRPr="005963CA" w:rsidRDefault="00E944C7" w:rsidP="00AE0313">
            <w:pPr>
              <w:rPr>
                <w:rFonts w:cs="Arial"/>
                <w:color w:val="000000"/>
                <w:lang w:val="el-GR"/>
              </w:rPr>
            </w:pPr>
          </w:p>
        </w:tc>
        <w:tc>
          <w:tcPr>
            <w:tcW w:w="1134" w:type="dxa"/>
          </w:tcPr>
          <w:p w:rsidR="00E944C7" w:rsidRPr="005963CA" w:rsidRDefault="00E944C7" w:rsidP="00AE0313">
            <w:pPr>
              <w:rPr>
                <w:rFonts w:cs="Arial"/>
                <w:color w:val="000000"/>
                <w:lang w:val="el-GR"/>
              </w:rPr>
            </w:pPr>
          </w:p>
        </w:tc>
        <w:tc>
          <w:tcPr>
            <w:tcW w:w="1666" w:type="dxa"/>
          </w:tcPr>
          <w:p w:rsidR="00E944C7" w:rsidRPr="005963CA" w:rsidRDefault="00E944C7" w:rsidP="00AE0313">
            <w:pPr>
              <w:rPr>
                <w:rFonts w:cs="Arial"/>
                <w:color w:val="000000"/>
                <w:lang w:val="el-GR"/>
              </w:rPr>
            </w:pPr>
          </w:p>
        </w:tc>
      </w:tr>
      <w:tr w:rsidR="00E944C7" w:rsidRPr="00DF0BB6" w:rsidTr="00AE0313">
        <w:trPr>
          <w:trHeight w:val="1800"/>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26</w:t>
            </w:r>
          </w:p>
        </w:tc>
        <w:tc>
          <w:tcPr>
            <w:tcW w:w="5342" w:type="dxa"/>
            <w:shd w:val="clear" w:color="auto" w:fill="auto"/>
            <w:vAlign w:val="center"/>
            <w:hideMark/>
          </w:tcPr>
          <w:p w:rsidR="00E944C7" w:rsidRDefault="00E944C7" w:rsidP="00AE0313">
            <w:pPr>
              <w:rPr>
                <w:rFonts w:cs="Arial"/>
                <w:color w:val="000000"/>
              </w:rPr>
            </w:pPr>
            <w:r w:rsidRPr="005963CA">
              <w:rPr>
                <w:rFonts w:cs="Arial"/>
                <w:color w:val="000000"/>
                <w:lang w:val="el-GR"/>
              </w:rPr>
              <w:t>Ρύγχη με φίλτρο, όγκου 100- 1000μ</w:t>
            </w:r>
            <w:r>
              <w:rPr>
                <w:rFonts w:cs="Arial"/>
                <w:color w:val="000000"/>
              </w:rPr>
              <w:t>L</w:t>
            </w:r>
            <w:r w:rsidRPr="005963CA">
              <w:rPr>
                <w:rFonts w:cs="Arial"/>
                <w:color w:val="000000"/>
                <w:lang w:val="el-GR"/>
              </w:rPr>
              <w:t>, διαφανή, με διαγράμμιση, το εσωτερικό του ρύγχους να έχει κατάλληλη επίστρωση για αποφυγή της δημιουργίας/κατακράτησης σταγονιδίων (</w:t>
            </w:r>
            <w:r>
              <w:rPr>
                <w:rFonts w:cs="Arial"/>
                <w:color w:val="000000"/>
              </w:rPr>
              <w:t>premium</w:t>
            </w:r>
            <w:r w:rsidRPr="005963CA">
              <w:rPr>
                <w:rFonts w:cs="Arial"/>
                <w:color w:val="000000"/>
                <w:lang w:val="el-GR"/>
              </w:rPr>
              <w:t xml:space="preserve"> </w:t>
            </w:r>
            <w:r>
              <w:rPr>
                <w:rFonts w:cs="Arial"/>
                <w:color w:val="000000"/>
              </w:rPr>
              <w:t>surface</w:t>
            </w:r>
            <w:r w:rsidRPr="005963CA">
              <w:rPr>
                <w:rFonts w:cs="Arial"/>
                <w:color w:val="000000"/>
                <w:lang w:val="el-GR"/>
              </w:rPr>
              <w:t>), αποστειρωμένα με γ-ακτινοβολία (</w:t>
            </w:r>
            <w:r>
              <w:rPr>
                <w:rFonts w:cs="Arial"/>
                <w:color w:val="000000"/>
              </w:rPr>
              <w:t>SAL</w:t>
            </w:r>
            <w:r w:rsidRPr="005963CA">
              <w:rPr>
                <w:rFonts w:cs="Arial"/>
                <w:color w:val="000000"/>
                <w:lang w:val="el-GR"/>
              </w:rPr>
              <w:t xml:space="preserve"> 10-6), </w:t>
            </w:r>
            <w:r>
              <w:rPr>
                <w:rFonts w:cs="Arial"/>
                <w:color w:val="000000"/>
              </w:rPr>
              <w:t>CE</w:t>
            </w:r>
            <w:r w:rsidRPr="005963CA">
              <w:rPr>
                <w:rFonts w:cs="Arial"/>
                <w:color w:val="000000"/>
                <w:lang w:val="el-GR"/>
              </w:rPr>
              <w:t>/</w:t>
            </w:r>
            <w:r>
              <w:rPr>
                <w:rFonts w:cs="Arial"/>
                <w:color w:val="000000"/>
              </w:rPr>
              <w:t>IVD</w:t>
            </w:r>
            <w:r w:rsidRPr="005963CA">
              <w:rPr>
                <w:rFonts w:cs="Arial"/>
                <w:color w:val="000000"/>
                <w:lang w:val="el-GR"/>
              </w:rPr>
              <w:t xml:space="preserve">. Να έχουν κατασκευαστεί σε </w:t>
            </w:r>
            <w:r>
              <w:rPr>
                <w:rFonts w:cs="Arial"/>
                <w:color w:val="000000"/>
              </w:rPr>
              <w:t>clean</w:t>
            </w:r>
            <w:r w:rsidRPr="005963CA">
              <w:rPr>
                <w:rFonts w:cs="Arial"/>
                <w:color w:val="000000"/>
                <w:lang w:val="el-GR"/>
              </w:rPr>
              <w:t xml:space="preserve"> </w:t>
            </w:r>
            <w:r>
              <w:rPr>
                <w:rFonts w:cs="Arial"/>
                <w:color w:val="000000"/>
              </w:rPr>
              <w:t>room</w:t>
            </w:r>
            <w:r w:rsidRPr="005963CA">
              <w:rPr>
                <w:rFonts w:cs="Arial"/>
                <w:color w:val="000000"/>
                <w:lang w:val="el-GR"/>
              </w:rPr>
              <w:t xml:space="preserve"> με </w:t>
            </w:r>
            <w:r>
              <w:rPr>
                <w:rFonts w:cs="Arial"/>
                <w:color w:val="000000"/>
              </w:rPr>
              <w:t>ISO</w:t>
            </w:r>
            <w:r w:rsidRPr="005963CA">
              <w:rPr>
                <w:rFonts w:cs="Arial"/>
                <w:color w:val="000000"/>
                <w:lang w:val="el-GR"/>
              </w:rPr>
              <w:t xml:space="preserve"> </w:t>
            </w:r>
            <w:r>
              <w:rPr>
                <w:rFonts w:cs="Arial"/>
                <w:color w:val="000000"/>
              </w:rPr>
              <w:t>Class</w:t>
            </w:r>
            <w:r w:rsidRPr="005963CA">
              <w:rPr>
                <w:rFonts w:cs="Arial"/>
                <w:color w:val="000000"/>
                <w:lang w:val="el-GR"/>
              </w:rPr>
              <w:t xml:space="preserve"> 8 ή μεγαλύτερο (σύμφωνα με την οδηγία </w:t>
            </w:r>
            <w:r>
              <w:rPr>
                <w:rFonts w:cs="Arial"/>
                <w:color w:val="000000"/>
              </w:rPr>
              <w:t>DIN</w:t>
            </w:r>
            <w:r w:rsidRPr="005963CA">
              <w:rPr>
                <w:rFonts w:cs="Arial"/>
                <w:color w:val="000000"/>
                <w:lang w:val="el-GR"/>
              </w:rPr>
              <w:t xml:space="preserve"> </w:t>
            </w:r>
            <w:r>
              <w:rPr>
                <w:rFonts w:cs="Arial"/>
                <w:color w:val="000000"/>
              </w:rPr>
              <w:t>EN</w:t>
            </w:r>
            <w:r w:rsidRPr="005963CA">
              <w:rPr>
                <w:rFonts w:cs="Arial"/>
                <w:color w:val="000000"/>
                <w:lang w:val="el-GR"/>
              </w:rPr>
              <w:t xml:space="preserve"> </w:t>
            </w:r>
            <w:r>
              <w:rPr>
                <w:rFonts w:cs="Arial"/>
                <w:color w:val="000000"/>
              </w:rPr>
              <w:t>ISO</w:t>
            </w:r>
            <w:r w:rsidRPr="005963CA">
              <w:rPr>
                <w:rFonts w:cs="Arial"/>
                <w:color w:val="000000"/>
                <w:lang w:val="el-GR"/>
              </w:rPr>
              <w:t xml:space="preserve"> 14644-1). Μήκος: 81,79 </w:t>
            </w:r>
            <w:r>
              <w:rPr>
                <w:rFonts w:cs="Arial"/>
                <w:color w:val="000000"/>
              </w:rPr>
              <w:t>mm</w:t>
            </w:r>
            <w:r w:rsidRPr="005963CA">
              <w:rPr>
                <w:rFonts w:cs="Arial"/>
                <w:color w:val="000000"/>
                <w:lang w:val="el-GR"/>
              </w:rPr>
              <w:t xml:space="preserve"> (+/- 0.2 </w:t>
            </w:r>
            <w:r>
              <w:rPr>
                <w:rFonts w:cs="Arial"/>
                <w:color w:val="000000"/>
              </w:rPr>
              <w:t>mm</w:t>
            </w:r>
            <w:r w:rsidRPr="005963CA">
              <w:rPr>
                <w:rFonts w:cs="Arial"/>
                <w:color w:val="000000"/>
                <w:lang w:val="el-GR"/>
              </w:rPr>
              <w:t>). Το φίλτρο του ρύγχους είναι κατασκευασμένο από υψηλής πυκνότητας πολυαιθυλένιο (</w:t>
            </w:r>
            <w:r>
              <w:rPr>
                <w:rFonts w:cs="Arial"/>
                <w:color w:val="000000"/>
              </w:rPr>
              <w:t>HDPE</w:t>
            </w:r>
            <w:r w:rsidRPr="005963CA">
              <w:rPr>
                <w:rFonts w:cs="Arial"/>
                <w:color w:val="000000"/>
                <w:lang w:val="el-GR"/>
              </w:rPr>
              <w:t>) με διάμετρο πόρων 10-15 μ</w:t>
            </w:r>
            <w:r>
              <w:rPr>
                <w:rFonts w:cs="Arial"/>
                <w:color w:val="000000"/>
              </w:rPr>
              <w:t>m</w:t>
            </w:r>
            <w:r w:rsidRPr="005963CA">
              <w:rPr>
                <w:rFonts w:cs="Arial"/>
                <w:color w:val="000000"/>
                <w:lang w:val="el-GR"/>
              </w:rPr>
              <w:t>, ώστε να εξαλειφθεί ο κίνδυνος δια-μόλυνσης (</w:t>
            </w:r>
            <w:r>
              <w:rPr>
                <w:rFonts w:cs="Arial"/>
                <w:color w:val="000000"/>
              </w:rPr>
              <w:t>cross</w:t>
            </w:r>
            <w:r w:rsidRPr="005963CA">
              <w:rPr>
                <w:rFonts w:cs="Arial"/>
                <w:color w:val="000000"/>
                <w:lang w:val="el-GR"/>
              </w:rPr>
              <w:t>-</w:t>
            </w:r>
            <w:r>
              <w:rPr>
                <w:rFonts w:cs="Arial"/>
                <w:color w:val="000000"/>
              </w:rPr>
              <w:t>contamination</w:t>
            </w:r>
            <w:r w:rsidRPr="005963CA">
              <w:rPr>
                <w:rFonts w:cs="Arial"/>
                <w:color w:val="000000"/>
                <w:lang w:val="el-GR"/>
              </w:rPr>
              <w:t xml:space="preserve">). Να μην περιέχουν </w:t>
            </w:r>
            <w:proofErr w:type="spellStart"/>
            <w:r w:rsidRPr="005963CA">
              <w:rPr>
                <w:rFonts w:cs="Arial"/>
                <w:color w:val="000000"/>
                <w:lang w:val="el-GR"/>
              </w:rPr>
              <w:t>βαρέα</w:t>
            </w:r>
            <w:proofErr w:type="spellEnd"/>
            <w:r w:rsidRPr="005963CA">
              <w:rPr>
                <w:rFonts w:cs="Arial"/>
                <w:color w:val="000000"/>
                <w:lang w:val="el-GR"/>
              </w:rPr>
              <w:t xml:space="preserve"> μέταλλα σύμφωνα με την οδηγία </w:t>
            </w:r>
            <w:r>
              <w:rPr>
                <w:rFonts w:cs="Arial"/>
                <w:color w:val="000000"/>
              </w:rPr>
              <w:t>EC</w:t>
            </w:r>
            <w:r w:rsidRPr="005963CA">
              <w:rPr>
                <w:rFonts w:cs="Arial"/>
                <w:color w:val="000000"/>
                <w:lang w:val="el-GR"/>
              </w:rPr>
              <w:t xml:space="preserve">/94/62 και να είναι ελεύθερα από αναστολείς </w:t>
            </w:r>
            <w:r>
              <w:rPr>
                <w:rFonts w:cs="Arial"/>
                <w:color w:val="000000"/>
              </w:rPr>
              <w:t>PCR</w:t>
            </w:r>
            <w:r w:rsidRPr="005963CA">
              <w:rPr>
                <w:rFonts w:cs="Arial"/>
                <w:color w:val="000000"/>
                <w:lang w:val="el-GR"/>
              </w:rPr>
              <w:t xml:space="preserve">, ανθρώπινο </w:t>
            </w:r>
            <w:r>
              <w:rPr>
                <w:rFonts w:cs="Arial"/>
                <w:color w:val="000000"/>
              </w:rPr>
              <w:t>DNA</w:t>
            </w:r>
            <w:r w:rsidRPr="005963CA">
              <w:rPr>
                <w:rFonts w:cs="Arial"/>
                <w:color w:val="000000"/>
                <w:lang w:val="el-GR"/>
              </w:rPr>
              <w:t xml:space="preserve">, </w:t>
            </w:r>
            <w:proofErr w:type="spellStart"/>
            <w:r>
              <w:rPr>
                <w:rFonts w:cs="Arial"/>
                <w:color w:val="000000"/>
              </w:rPr>
              <w:t>Rnase</w:t>
            </w:r>
            <w:proofErr w:type="spellEnd"/>
            <w:r w:rsidRPr="005963CA">
              <w:rPr>
                <w:rFonts w:cs="Arial"/>
                <w:color w:val="000000"/>
                <w:lang w:val="el-GR"/>
              </w:rPr>
              <w:t xml:space="preserve"> &amp; </w:t>
            </w:r>
            <w:proofErr w:type="spellStart"/>
            <w:r>
              <w:rPr>
                <w:rFonts w:cs="Arial"/>
                <w:color w:val="000000"/>
              </w:rPr>
              <w:t>DNase</w:t>
            </w:r>
            <w:proofErr w:type="spellEnd"/>
            <w:r w:rsidRPr="005963CA">
              <w:rPr>
                <w:rFonts w:cs="Arial"/>
                <w:color w:val="000000"/>
                <w:lang w:val="el-GR"/>
              </w:rPr>
              <w:t xml:space="preserve">, </w:t>
            </w:r>
            <w:r>
              <w:rPr>
                <w:rFonts w:cs="Arial"/>
                <w:color w:val="000000"/>
              </w:rPr>
              <w:t>ATP</w:t>
            </w:r>
            <w:r w:rsidRPr="005963CA">
              <w:rPr>
                <w:rFonts w:cs="Arial"/>
                <w:color w:val="000000"/>
                <w:lang w:val="el-GR"/>
              </w:rPr>
              <w:t xml:space="preserve">, πυρετογόνα και </w:t>
            </w:r>
            <w:proofErr w:type="spellStart"/>
            <w:r w:rsidRPr="005963CA">
              <w:rPr>
                <w:rFonts w:cs="Arial"/>
                <w:color w:val="000000"/>
                <w:lang w:val="el-GR"/>
              </w:rPr>
              <w:t>ενδοτοξίνες</w:t>
            </w:r>
            <w:proofErr w:type="spellEnd"/>
            <w:r w:rsidRPr="005963CA">
              <w:rPr>
                <w:rFonts w:cs="Arial"/>
                <w:color w:val="000000"/>
                <w:lang w:val="el-GR"/>
              </w:rPr>
              <w:t xml:space="preserve">. </w:t>
            </w:r>
            <w:proofErr w:type="spellStart"/>
            <w:r>
              <w:rPr>
                <w:rFonts w:cs="Arial"/>
                <w:color w:val="000000"/>
              </w:rPr>
              <w:t>Συσκευ</w:t>
            </w:r>
            <w:proofErr w:type="spellEnd"/>
            <w:r>
              <w:rPr>
                <w:rFonts w:cs="Arial"/>
                <w:color w:val="000000"/>
              </w:rPr>
              <w:t xml:space="preserve">ασία </w:t>
            </w:r>
            <w:proofErr w:type="spellStart"/>
            <w:r>
              <w:rPr>
                <w:rFonts w:cs="Arial"/>
                <w:color w:val="000000"/>
              </w:rPr>
              <w:t>των</w:t>
            </w:r>
            <w:proofErr w:type="spellEnd"/>
            <w:r>
              <w:rPr>
                <w:rFonts w:cs="Arial"/>
                <w:color w:val="000000"/>
              </w:rPr>
              <w:t xml:space="preserve"> 8 </w:t>
            </w:r>
            <w:proofErr w:type="spellStart"/>
            <w:r>
              <w:rPr>
                <w:rFonts w:cs="Arial"/>
                <w:color w:val="000000"/>
              </w:rPr>
              <w:t>κουτιών</w:t>
            </w:r>
            <w:proofErr w:type="spellEnd"/>
            <w:r>
              <w:rPr>
                <w:rFonts w:cs="Arial"/>
                <w:color w:val="000000"/>
              </w:rPr>
              <w:t xml:space="preserve"> (96 </w:t>
            </w:r>
            <w:proofErr w:type="spellStart"/>
            <w:r>
              <w:rPr>
                <w:rFonts w:cs="Arial"/>
                <w:color w:val="000000"/>
              </w:rPr>
              <w:t>τεμ</w:t>
            </w:r>
            <w:proofErr w:type="spellEnd"/>
            <w:proofErr w:type="gramStart"/>
            <w:r>
              <w:rPr>
                <w:rFonts w:cs="Arial"/>
                <w:color w:val="000000"/>
              </w:rPr>
              <w:t>./</w:t>
            </w:r>
            <w:proofErr w:type="spellStart"/>
            <w:proofErr w:type="gramEnd"/>
            <w:r>
              <w:rPr>
                <w:rFonts w:cs="Arial"/>
                <w:color w:val="000000"/>
              </w:rPr>
              <w:t>κουτί</w:t>
            </w:r>
            <w:proofErr w:type="spellEnd"/>
            <w:r>
              <w:rPr>
                <w:rFonts w:cs="Arial"/>
                <w:color w:val="000000"/>
              </w:rPr>
              <w:t>).</w:t>
            </w:r>
          </w:p>
        </w:tc>
        <w:tc>
          <w:tcPr>
            <w:tcW w:w="1134" w:type="dxa"/>
          </w:tcPr>
          <w:p w:rsidR="00E944C7" w:rsidRPr="005963CA" w:rsidRDefault="00E944C7" w:rsidP="00AE0313">
            <w:pPr>
              <w:rPr>
                <w:rFonts w:cs="Arial"/>
                <w:color w:val="000000"/>
                <w:lang w:val="el-GR"/>
              </w:rPr>
            </w:pPr>
          </w:p>
        </w:tc>
        <w:tc>
          <w:tcPr>
            <w:tcW w:w="1134" w:type="dxa"/>
          </w:tcPr>
          <w:p w:rsidR="00E944C7" w:rsidRPr="005963CA" w:rsidRDefault="00E944C7" w:rsidP="00AE0313">
            <w:pPr>
              <w:rPr>
                <w:rFonts w:cs="Arial"/>
                <w:color w:val="000000"/>
                <w:lang w:val="el-GR"/>
              </w:rPr>
            </w:pPr>
          </w:p>
        </w:tc>
        <w:tc>
          <w:tcPr>
            <w:tcW w:w="1666" w:type="dxa"/>
          </w:tcPr>
          <w:p w:rsidR="00E944C7" w:rsidRPr="005963CA" w:rsidRDefault="00E944C7" w:rsidP="00AE0313">
            <w:pPr>
              <w:rPr>
                <w:rFonts w:cs="Arial"/>
                <w:color w:val="000000"/>
                <w:lang w:val="el-GR"/>
              </w:rPr>
            </w:pPr>
          </w:p>
        </w:tc>
      </w:tr>
      <w:tr w:rsidR="00E944C7" w:rsidRPr="00DF0BB6" w:rsidTr="00AE0313">
        <w:trPr>
          <w:trHeight w:val="60"/>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lastRenderedPageBreak/>
              <w:t>27</w:t>
            </w:r>
          </w:p>
        </w:tc>
        <w:tc>
          <w:tcPr>
            <w:tcW w:w="5342" w:type="dxa"/>
            <w:shd w:val="clear" w:color="auto" w:fill="auto"/>
            <w:vAlign w:val="center"/>
            <w:hideMark/>
          </w:tcPr>
          <w:p w:rsidR="00E944C7" w:rsidRDefault="00E944C7" w:rsidP="00AE0313">
            <w:pPr>
              <w:rPr>
                <w:rFonts w:cs="Arial"/>
              </w:rPr>
            </w:pPr>
            <w:r w:rsidRPr="005963CA">
              <w:rPr>
                <w:rFonts w:cs="Arial"/>
                <w:lang w:val="el-GR"/>
              </w:rPr>
              <w:t xml:space="preserve">Μέσο φύλαξης κυττάρων, με </w:t>
            </w:r>
            <w:proofErr w:type="spellStart"/>
            <w:r w:rsidRPr="005963CA">
              <w:rPr>
                <w:rFonts w:cs="Arial"/>
                <w:lang w:val="el-GR"/>
              </w:rPr>
              <w:t>αλβουμίνη</w:t>
            </w:r>
            <w:proofErr w:type="spellEnd"/>
            <w:r w:rsidRPr="005963CA">
              <w:rPr>
                <w:rFonts w:cs="Arial"/>
                <w:lang w:val="el-GR"/>
              </w:rPr>
              <w:t xml:space="preserve"> ανθρώπινου ορού και </w:t>
            </w:r>
            <w:r>
              <w:rPr>
                <w:rFonts w:cs="Arial"/>
              </w:rPr>
              <w:t>DMSO</w:t>
            </w:r>
            <w:r w:rsidRPr="005963CA">
              <w:rPr>
                <w:rFonts w:cs="Arial"/>
                <w:lang w:val="el-GR"/>
              </w:rPr>
              <w:t xml:space="preserve"> για </w:t>
            </w:r>
            <w:proofErr w:type="spellStart"/>
            <w:r w:rsidRPr="005963CA">
              <w:rPr>
                <w:rFonts w:cs="Arial"/>
                <w:lang w:val="el-GR"/>
              </w:rPr>
              <w:t>κρυοσυντήρηση</w:t>
            </w:r>
            <w:proofErr w:type="spellEnd"/>
            <w:r w:rsidRPr="005963CA">
              <w:rPr>
                <w:rFonts w:cs="Arial"/>
                <w:lang w:val="el-GR"/>
              </w:rPr>
              <w:t xml:space="preserve"> και μεταφορά πρωτογενών  </w:t>
            </w:r>
            <w:r>
              <w:rPr>
                <w:rFonts w:cs="Arial"/>
              </w:rPr>
              <w:t>ES</w:t>
            </w:r>
            <w:r w:rsidRPr="005963CA">
              <w:rPr>
                <w:rFonts w:cs="Arial"/>
                <w:lang w:val="el-GR"/>
              </w:rPr>
              <w:t>/</w:t>
            </w:r>
            <w:proofErr w:type="spellStart"/>
            <w:r>
              <w:rPr>
                <w:rFonts w:cs="Arial"/>
              </w:rPr>
              <w:t>iPS</w:t>
            </w:r>
            <w:proofErr w:type="spellEnd"/>
            <w:r w:rsidRPr="005963CA">
              <w:rPr>
                <w:rFonts w:cs="Arial"/>
                <w:lang w:val="el-GR"/>
              </w:rPr>
              <w:t xml:space="preserve"> κυττάρων. Να είναι απαλλαγμένο από ζωικά συστατικά (</w:t>
            </w:r>
            <w:proofErr w:type="spellStart"/>
            <w:r>
              <w:rPr>
                <w:rFonts w:cs="Arial"/>
              </w:rPr>
              <w:t>xeno</w:t>
            </w:r>
            <w:proofErr w:type="spellEnd"/>
            <w:r w:rsidRPr="005963CA">
              <w:rPr>
                <w:rFonts w:cs="Arial"/>
                <w:lang w:val="el-GR"/>
              </w:rPr>
              <w:t>-</w:t>
            </w:r>
            <w:r>
              <w:rPr>
                <w:rFonts w:cs="Arial"/>
              </w:rPr>
              <w:t>free</w:t>
            </w:r>
            <w:r w:rsidRPr="005963CA">
              <w:rPr>
                <w:rFonts w:cs="Arial"/>
                <w:lang w:val="el-GR"/>
              </w:rPr>
              <w:t>).  Να είναι έτοιμο προς χρήση.</w:t>
            </w:r>
            <w:r w:rsidRPr="005963CA">
              <w:rPr>
                <w:rFonts w:cs="Arial"/>
                <w:lang w:val="el-GR"/>
              </w:rPr>
              <w:br/>
              <w:t xml:space="preserve">Να είναι απαλλαγμένο από ορό ώστε να αποφεύγεται η επιμόλυνση ή η αλληλεπίδραση των κυττάρων με τις πρωτεΐνες του ορού. Να έχει μεγάλη διάρκεια ζωής, τουλάχιστον 18 μήνες. Να παρέχει εξαιρετικά υψηλά ποσοστά ανάκτησης. </w:t>
            </w:r>
            <w:proofErr w:type="spellStart"/>
            <w:r>
              <w:rPr>
                <w:rFonts w:cs="Arial"/>
              </w:rPr>
              <w:t>Συσκευ</w:t>
            </w:r>
            <w:proofErr w:type="spellEnd"/>
            <w:r>
              <w:rPr>
                <w:rFonts w:cs="Arial"/>
              </w:rPr>
              <w:t>ασία 20 ml.</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415"/>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28</w:t>
            </w:r>
          </w:p>
        </w:tc>
        <w:tc>
          <w:tcPr>
            <w:tcW w:w="5342" w:type="dxa"/>
            <w:shd w:val="clear" w:color="auto" w:fill="auto"/>
            <w:vAlign w:val="center"/>
            <w:hideMark/>
          </w:tcPr>
          <w:p w:rsidR="00E944C7" w:rsidRDefault="00E944C7" w:rsidP="00AE0313">
            <w:pPr>
              <w:rPr>
                <w:rFonts w:cs="Arial"/>
              </w:rPr>
            </w:pPr>
            <w:proofErr w:type="spellStart"/>
            <w:r>
              <w:rPr>
                <w:rFonts w:cs="Arial"/>
              </w:rPr>
              <w:t>Κιτ</w:t>
            </w:r>
            <w:proofErr w:type="spellEnd"/>
            <w:r w:rsidRPr="00826FF5">
              <w:rPr>
                <w:rFonts w:cs="Arial"/>
                <w:lang w:val="en-US"/>
              </w:rPr>
              <w:t xml:space="preserve"> </w:t>
            </w:r>
            <w:proofErr w:type="spellStart"/>
            <w:r>
              <w:rPr>
                <w:rFonts w:cs="Arial"/>
              </w:rPr>
              <w:t>γι</w:t>
            </w:r>
            <w:proofErr w:type="spellEnd"/>
            <w:r>
              <w:rPr>
                <w:rFonts w:cs="Arial"/>
              </w:rPr>
              <w:t>α</w:t>
            </w:r>
            <w:r w:rsidRPr="00826FF5">
              <w:rPr>
                <w:rFonts w:cs="Arial"/>
                <w:lang w:val="en-US"/>
              </w:rPr>
              <w:t xml:space="preserve"> </w:t>
            </w:r>
            <w:r>
              <w:rPr>
                <w:rFonts w:cs="Arial"/>
              </w:rPr>
              <w:t>απ</w:t>
            </w:r>
            <w:proofErr w:type="spellStart"/>
            <w:r>
              <w:rPr>
                <w:rFonts w:cs="Arial"/>
              </w:rPr>
              <w:t>ομόνωση</w:t>
            </w:r>
            <w:proofErr w:type="spellEnd"/>
            <w:r w:rsidRPr="00826FF5">
              <w:rPr>
                <w:rFonts w:cs="Arial"/>
                <w:lang w:val="en-US"/>
              </w:rPr>
              <w:t xml:space="preserve"> </w:t>
            </w:r>
            <w:proofErr w:type="spellStart"/>
            <w:r>
              <w:rPr>
                <w:rFonts w:cs="Arial"/>
              </w:rPr>
              <w:t>συνολικού</w:t>
            </w:r>
            <w:proofErr w:type="spellEnd"/>
            <w:r w:rsidRPr="00826FF5">
              <w:rPr>
                <w:rFonts w:cs="Arial"/>
                <w:lang w:val="en-US"/>
              </w:rPr>
              <w:t xml:space="preserve"> </w:t>
            </w:r>
            <w:proofErr w:type="gramStart"/>
            <w:r w:rsidRPr="00826FF5">
              <w:rPr>
                <w:rFonts w:cs="Arial"/>
                <w:lang w:val="en-US"/>
              </w:rPr>
              <w:t xml:space="preserve">RNA  </w:t>
            </w:r>
            <w:r>
              <w:rPr>
                <w:rFonts w:cs="Arial"/>
              </w:rPr>
              <w:t>από</w:t>
            </w:r>
            <w:proofErr w:type="gramEnd"/>
            <w:r w:rsidRPr="00826FF5">
              <w:rPr>
                <w:rFonts w:cs="Arial"/>
                <w:lang w:val="en-US"/>
              </w:rPr>
              <w:t xml:space="preserve"> 1–105 cultured cells &lt; 5 mg human / animal tissue. </w:t>
            </w:r>
            <w:r w:rsidRPr="005963CA">
              <w:rPr>
                <w:rFonts w:cs="Arial"/>
                <w:lang w:val="el-GR"/>
              </w:rPr>
              <w:t>Να έχει ικανότητα πρόσδεσης τουλάχιστον 100 μ</w:t>
            </w:r>
            <w:r>
              <w:rPr>
                <w:rFonts w:cs="Arial"/>
              </w:rPr>
              <w:t>g</w:t>
            </w:r>
            <w:r w:rsidRPr="005963CA">
              <w:rPr>
                <w:rFonts w:cs="Arial"/>
                <w:lang w:val="el-GR"/>
              </w:rPr>
              <w:t xml:space="preserve"> </w:t>
            </w:r>
            <w:r>
              <w:rPr>
                <w:rFonts w:cs="Arial"/>
              </w:rPr>
              <w:t>R</w:t>
            </w:r>
            <w:r w:rsidRPr="005963CA">
              <w:rPr>
                <w:rFonts w:cs="Arial"/>
                <w:lang w:val="el-GR"/>
              </w:rPr>
              <w:t>ΝΑ. Τ</w:t>
            </w:r>
            <w:r>
              <w:rPr>
                <w:rFonts w:cs="Arial"/>
              </w:rPr>
              <w:t>o</w:t>
            </w:r>
            <w:r w:rsidRPr="005963CA">
              <w:rPr>
                <w:rFonts w:cs="Arial"/>
                <w:lang w:val="el-GR"/>
              </w:rPr>
              <w:t xml:space="preserve"> </w:t>
            </w:r>
            <w:r>
              <w:rPr>
                <w:rFonts w:cs="Arial"/>
              </w:rPr>
              <w:t>kit</w:t>
            </w:r>
            <w:r w:rsidRPr="005963CA">
              <w:rPr>
                <w:rFonts w:cs="Arial"/>
                <w:lang w:val="el-GR"/>
              </w:rPr>
              <w:t xml:space="preserve"> να περιλαμβάνει επιπλέον στήλες για την απομάκρυνση του </w:t>
            </w:r>
            <w:proofErr w:type="spellStart"/>
            <w:r w:rsidRPr="005963CA">
              <w:rPr>
                <w:rFonts w:cs="Arial"/>
                <w:lang w:val="el-GR"/>
              </w:rPr>
              <w:t>γενομικού</w:t>
            </w:r>
            <w:proofErr w:type="spellEnd"/>
            <w:r w:rsidRPr="005963CA">
              <w:rPr>
                <w:rFonts w:cs="Arial"/>
                <w:lang w:val="el-GR"/>
              </w:rPr>
              <w:t xml:space="preserve"> </w:t>
            </w:r>
            <w:r>
              <w:rPr>
                <w:rFonts w:cs="Arial"/>
              </w:rPr>
              <w:t>DNA</w:t>
            </w:r>
            <w:r w:rsidRPr="005963CA">
              <w:rPr>
                <w:rFonts w:cs="Arial"/>
                <w:lang w:val="el-GR"/>
              </w:rPr>
              <w:t xml:space="preserve"> ώστε να μην απαιτείται επώαση με </w:t>
            </w:r>
            <w:proofErr w:type="spellStart"/>
            <w:r>
              <w:rPr>
                <w:rFonts w:cs="Arial"/>
              </w:rPr>
              <w:t>DNAse</w:t>
            </w:r>
            <w:proofErr w:type="spellEnd"/>
            <w:r w:rsidRPr="005963CA">
              <w:rPr>
                <w:rFonts w:cs="Arial"/>
                <w:lang w:val="el-GR"/>
              </w:rPr>
              <w:t xml:space="preserve">.                                                                               </w:t>
            </w:r>
            <w:r w:rsidRPr="005963CA">
              <w:rPr>
                <w:rFonts w:cs="Arial"/>
                <w:lang w:val="el-GR"/>
              </w:rPr>
              <w:br/>
              <w:t>Να μην απαιτείται η προσθήκη β-</w:t>
            </w:r>
            <w:proofErr w:type="spellStart"/>
            <w:r w:rsidRPr="005963CA">
              <w:rPr>
                <w:rFonts w:cs="Arial"/>
                <w:lang w:val="el-GR"/>
              </w:rPr>
              <w:t>μερκαπτοαιθανόλης</w:t>
            </w:r>
            <w:proofErr w:type="spellEnd"/>
            <w:r w:rsidRPr="005963CA">
              <w:rPr>
                <w:rFonts w:cs="Arial"/>
                <w:lang w:val="el-GR"/>
              </w:rPr>
              <w:t xml:space="preserve"> ή </w:t>
            </w:r>
            <w:r>
              <w:rPr>
                <w:rFonts w:cs="Arial"/>
              </w:rPr>
              <w:t>TCEP</w:t>
            </w:r>
            <w:r w:rsidRPr="005963CA">
              <w:rPr>
                <w:rFonts w:cs="Arial"/>
                <w:lang w:val="el-GR"/>
              </w:rPr>
              <w:t xml:space="preserve"> στο διάλυμα λύσης. Να παρέχεται υψηλής καθαρότητας </w:t>
            </w:r>
            <w:r>
              <w:rPr>
                <w:rFonts w:cs="Arial"/>
              </w:rPr>
              <w:t>RNA</w:t>
            </w:r>
            <w:r w:rsidRPr="005963CA">
              <w:rPr>
                <w:rFonts w:cs="Arial"/>
                <w:lang w:val="el-GR"/>
              </w:rPr>
              <w:t xml:space="preserve">: </w:t>
            </w:r>
            <w:r>
              <w:rPr>
                <w:rFonts w:cs="Arial"/>
              </w:rPr>
              <w:t>A</w:t>
            </w:r>
            <w:r w:rsidRPr="005963CA">
              <w:rPr>
                <w:rFonts w:cs="Arial"/>
                <w:lang w:val="el-GR"/>
              </w:rPr>
              <w:t xml:space="preserve">260/280 : 1.9-2.2 Να παρέχεται υψηλής συγκέντρωσης </w:t>
            </w:r>
            <w:r>
              <w:rPr>
                <w:rFonts w:cs="Arial"/>
              </w:rPr>
              <w:t>RNA</w:t>
            </w:r>
            <w:r w:rsidRPr="005963CA">
              <w:rPr>
                <w:rFonts w:cs="Arial"/>
                <w:lang w:val="el-GR"/>
              </w:rPr>
              <w:t xml:space="preserve">:  πχ. 500-2000 </w:t>
            </w:r>
            <w:r>
              <w:rPr>
                <w:rFonts w:cs="Arial"/>
              </w:rPr>
              <w:t>ng</w:t>
            </w:r>
            <w:r w:rsidRPr="005963CA">
              <w:rPr>
                <w:rFonts w:cs="Arial"/>
                <w:lang w:val="el-GR"/>
              </w:rPr>
              <w:t xml:space="preserve"> από 105 </w:t>
            </w:r>
            <w:proofErr w:type="spellStart"/>
            <w:r>
              <w:rPr>
                <w:rFonts w:cs="Arial"/>
              </w:rPr>
              <w:t>HeLa</w:t>
            </w:r>
            <w:proofErr w:type="spellEnd"/>
            <w:r w:rsidRPr="005963CA">
              <w:rPr>
                <w:rFonts w:cs="Arial"/>
                <w:lang w:val="el-GR"/>
              </w:rPr>
              <w:t xml:space="preserve"> </w:t>
            </w:r>
            <w:r>
              <w:rPr>
                <w:rFonts w:cs="Arial"/>
              </w:rPr>
              <w:t>cells</w:t>
            </w:r>
            <w:r w:rsidRPr="005963CA">
              <w:rPr>
                <w:rFonts w:cs="Arial"/>
                <w:lang w:val="el-GR"/>
              </w:rPr>
              <w:t xml:space="preserve">. Ο όγκος </w:t>
            </w:r>
            <w:proofErr w:type="spellStart"/>
            <w:r w:rsidRPr="005963CA">
              <w:rPr>
                <w:rFonts w:cs="Arial"/>
                <w:lang w:val="el-GR"/>
              </w:rPr>
              <w:t>έκλουσης</w:t>
            </w:r>
            <w:proofErr w:type="spellEnd"/>
            <w:r w:rsidRPr="005963CA">
              <w:rPr>
                <w:rFonts w:cs="Arial"/>
                <w:lang w:val="el-GR"/>
              </w:rPr>
              <w:t xml:space="preserve"> να είναι  5– 30 μ</w:t>
            </w:r>
            <w:r>
              <w:rPr>
                <w:rFonts w:cs="Arial"/>
              </w:rPr>
              <w:t>l</w:t>
            </w:r>
            <w:r w:rsidRPr="005963CA">
              <w:rPr>
                <w:rFonts w:cs="Arial"/>
                <w:lang w:val="el-GR"/>
              </w:rPr>
              <w:t xml:space="preserve">. Η διαδικασία να ολοκληρώνεται σε λιγότερο από 18 λεπτά. </w:t>
            </w:r>
            <w:r>
              <w:rPr>
                <w:rFonts w:cs="Arial"/>
              </w:rPr>
              <w:t>Να</w:t>
            </w:r>
            <w:r w:rsidRPr="00826FF5">
              <w:rPr>
                <w:rFonts w:cs="Arial"/>
                <w:lang w:val="en-US"/>
              </w:rPr>
              <w:t xml:space="preserve"> </w:t>
            </w:r>
            <w:proofErr w:type="spellStart"/>
            <w:r>
              <w:rPr>
                <w:rFonts w:cs="Arial"/>
              </w:rPr>
              <w:t>είν</w:t>
            </w:r>
            <w:proofErr w:type="spellEnd"/>
            <w:r>
              <w:rPr>
                <w:rFonts w:cs="Arial"/>
              </w:rPr>
              <w:t>αι</w:t>
            </w:r>
            <w:r w:rsidRPr="00826FF5">
              <w:rPr>
                <w:rFonts w:cs="Arial"/>
                <w:lang w:val="en-US"/>
              </w:rPr>
              <w:t xml:space="preserve"> </w:t>
            </w:r>
            <w:r>
              <w:rPr>
                <w:rFonts w:cs="Arial"/>
              </w:rPr>
              <w:t>κα</w:t>
            </w:r>
            <w:proofErr w:type="spellStart"/>
            <w:r>
              <w:rPr>
                <w:rFonts w:cs="Arial"/>
              </w:rPr>
              <w:t>τάλληλο</w:t>
            </w:r>
            <w:proofErr w:type="spellEnd"/>
            <w:r w:rsidRPr="00826FF5">
              <w:rPr>
                <w:rFonts w:cs="Arial"/>
                <w:lang w:val="en-US"/>
              </w:rPr>
              <w:t xml:space="preserve"> </w:t>
            </w:r>
            <w:proofErr w:type="spellStart"/>
            <w:r>
              <w:rPr>
                <w:rFonts w:cs="Arial"/>
              </w:rPr>
              <w:t>γι</w:t>
            </w:r>
            <w:proofErr w:type="spellEnd"/>
            <w:r>
              <w:rPr>
                <w:rFonts w:cs="Arial"/>
              </w:rPr>
              <w:t>α</w:t>
            </w:r>
            <w:r w:rsidRPr="00826FF5">
              <w:rPr>
                <w:rFonts w:cs="Arial"/>
                <w:lang w:val="en-US"/>
              </w:rPr>
              <w:t xml:space="preserve"> </w:t>
            </w:r>
            <w:proofErr w:type="spellStart"/>
            <w:r>
              <w:rPr>
                <w:rFonts w:cs="Arial"/>
              </w:rPr>
              <w:t>όλες</w:t>
            </w:r>
            <w:proofErr w:type="spellEnd"/>
            <w:r w:rsidRPr="00826FF5">
              <w:rPr>
                <w:rFonts w:cs="Arial"/>
                <w:lang w:val="en-US"/>
              </w:rPr>
              <w:t xml:space="preserve"> </w:t>
            </w:r>
            <w:proofErr w:type="spellStart"/>
            <w:r>
              <w:rPr>
                <w:rFonts w:cs="Arial"/>
              </w:rPr>
              <w:t>τις</w:t>
            </w:r>
            <w:proofErr w:type="spellEnd"/>
            <w:r w:rsidRPr="00826FF5">
              <w:rPr>
                <w:rFonts w:cs="Arial"/>
                <w:lang w:val="en-US"/>
              </w:rPr>
              <w:t xml:space="preserve"> </w:t>
            </w:r>
            <w:proofErr w:type="spellStart"/>
            <w:r>
              <w:rPr>
                <w:rFonts w:cs="Arial"/>
              </w:rPr>
              <w:t>συνήθεις</w:t>
            </w:r>
            <w:proofErr w:type="spellEnd"/>
            <w:r w:rsidRPr="00826FF5">
              <w:rPr>
                <w:rFonts w:cs="Arial"/>
                <w:lang w:val="en-US"/>
              </w:rPr>
              <w:t xml:space="preserve"> </w:t>
            </w:r>
            <w:proofErr w:type="spellStart"/>
            <w:r>
              <w:rPr>
                <w:rFonts w:cs="Arial"/>
              </w:rPr>
              <w:t>εφ</w:t>
            </w:r>
            <w:proofErr w:type="spellEnd"/>
            <w:r>
              <w:rPr>
                <w:rFonts w:cs="Arial"/>
              </w:rPr>
              <w:t>αρμογές</w:t>
            </w:r>
            <w:r w:rsidRPr="00826FF5">
              <w:rPr>
                <w:rFonts w:cs="Arial"/>
                <w:lang w:val="en-US"/>
              </w:rPr>
              <w:t xml:space="preserve">: real-time RT-PCR, Northern blotting, primer extension, array technology, </w:t>
            </w:r>
            <w:proofErr w:type="spellStart"/>
            <w:proofErr w:type="gramStart"/>
            <w:r w:rsidRPr="00826FF5">
              <w:rPr>
                <w:rFonts w:cs="Arial"/>
                <w:lang w:val="en-US"/>
              </w:rPr>
              <w:t>RNase</w:t>
            </w:r>
            <w:proofErr w:type="spellEnd"/>
            <w:proofErr w:type="gramEnd"/>
            <w:r w:rsidRPr="00826FF5">
              <w:rPr>
                <w:rFonts w:cs="Arial"/>
                <w:lang w:val="en-US"/>
              </w:rPr>
              <w:t xml:space="preserve"> protection assays. </w:t>
            </w:r>
            <w:r>
              <w:rPr>
                <w:rFonts w:cs="Arial"/>
              </w:rPr>
              <w:t xml:space="preserve">Nα </w:t>
            </w:r>
            <w:proofErr w:type="spellStart"/>
            <w:r>
              <w:rPr>
                <w:rFonts w:cs="Arial"/>
              </w:rPr>
              <w:t>δι</w:t>
            </w:r>
            <w:proofErr w:type="spellEnd"/>
            <w:r>
              <w:rPr>
                <w:rFonts w:cs="Arial"/>
              </w:rPr>
              <w:t xml:space="preserve">ατίθεται </w:t>
            </w:r>
            <w:proofErr w:type="spellStart"/>
            <w:r>
              <w:rPr>
                <w:rFonts w:cs="Arial"/>
              </w:rPr>
              <w:t>σε</w:t>
            </w:r>
            <w:proofErr w:type="spellEnd"/>
            <w:r>
              <w:rPr>
                <w:rFonts w:cs="Arial"/>
              </w:rPr>
              <w:t xml:space="preserve"> </w:t>
            </w:r>
            <w:proofErr w:type="spellStart"/>
            <w:r>
              <w:rPr>
                <w:rFonts w:cs="Arial"/>
              </w:rPr>
              <w:t>συσκευ</w:t>
            </w:r>
            <w:proofErr w:type="spellEnd"/>
            <w:r>
              <w:rPr>
                <w:rFonts w:cs="Arial"/>
              </w:rPr>
              <w:t xml:space="preserve">ασία </w:t>
            </w:r>
            <w:proofErr w:type="spellStart"/>
            <w:r>
              <w:rPr>
                <w:rFonts w:cs="Arial"/>
              </w:rPr>
              <w:t>των</w:t>
            </w:r>
            <w:proofErr w:type="spellEnd"/>
            <w:r>
              <w:rPr>
                <w:rFonts w:cs="Arial"/>
              </w:rPr>
              <w:t xml:space="preserve"> 50 απ</w:t>
            </w:r>
            <w:proofErr w:type="spellStart"/>
            <w:r>
              <w:rPr>
                <w:rFonts w:cs="Arial"/>
              </w:rPr>
              <w:t>ομονώσεων</w:t>
            </w:r>
            <w:proofErr w:type="spellEnd"/>
            <w:r>
              <w:rPr>
                <w:rFonts w:cs="Arial"/>
              </w:rPr>
              <w:t>.</w:t>
            </w:r>
          </w:p>
        </w:tc>
        <w:tc>
          <w:tcPr>
            <w:tcW w:w="1134" w:type="dxa"/>
          </w:tcPr>
          <w:p w:rsidR="00E944C7" w:rsidRDefault="00E944C7" w:rsidP="00AE0313">
            <w:pPr>
              <w:rPr>
                <w:rFonts w:cs="Arial"/>
              </w:rPr>
            </w:pPr>
          </w:p>
        </w:tc>
        <w:tc>
          <w:tcPr>
            <w:tcW w:w="1134" w:type="dxa"/>
          </w:tcPr>
          <w:p w:rsidR="00E944C7" w:rsidRDefault="00E944C7" w:rsidP="00AE0313">
            <w:pPr>
              <w:rPr>
                <w:rFonts w:cs="Arial"/>
              </w:rPr>
            </w:pPr>
          </w:p>
        </w:tc>
        <w:tc>
          <w:tcPr>
            <w:tcW w:w="1666" w:type="dxa"/>
          </w:tcPr>
          <w:p w:rsidR="00E944C7" w:rsidRDefault="00E944C7" w:rsidP="00AE0313">
            <w:pPr>
              <w:rPr>
                <w:rFonts w:cs="Arial"/>
              </w:rPr>
            </w:pPr>
          </w:p>
        </w:tc>
      </w:tr>
      <w:tr w:rsidR="00E944C7" w:rsidRPr="00DF0BB6" w:rsidTr="00AE0313">
        <w:trPr>
          <w:trHeight w:val="416"/>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29</w:t>
            </w:r>
          </w:p>
        </w:tc>
        <w:tc>
          <w:tcPr>
            <w:tcW w:w="5342" w:type="dxa"/>
            <w:shd w:val="clear" w:color="auto" w:fill="auto"/>
            <w:vAlign w:val="center"/>
            <w:hideMark/>
          </w:tcPr>
          <w:p w:rsidR="00E944C7" w:rsidRDefault="00E944C7" w:rsidP="00AE0313">
            <w:pPr>
              <w:rPr>
                <w:rFonts w:cs="Arial"/>
              </w:rPr>
            </w:pPr>
            <w:r w:rsidRPr="005963CA">
              <w:rPr>
                <w:rFonts w:cs="Arial"/>
                <w:lang w:val="el-GR"/>
              </w:rPr>
              <w:t xml:space="preserve">Γάντια εξέτασης μίας χρήσης από </w:t>
            </w:r>
            <w:proofErr w:type="spellStart"/>
            <w:r w:rsidRPr="005963CA">
              <w:rPr>
                <w:rFonts w:cs="Arial"/>
                <w:lang w:val="el-GR"/>
              </w:rPr>
              <w:t>νιτρίλιο</w:t>
            </w:r>
            <w:proofErr w:type="spellEnd"/>
            <w:r w:rsidRPr="005963CA">
              <w:rPr>
                <w:rFonts w:cs="Arial"/>
                <w:lang w:val="el-GR"/>
              </w:rPr>
              <w:t xml:space="preserve">, χωρίς </w:t>
            </w:r>
            <w:proofErr w:type="spellStart"/>
            <w:r w:rsidRPr="005963CA">
              <w:rPr>
                <w:rFonts w:cs="Arial"/>
                <w:lang w:val="el-GR"/>
              </w:rPr>
              <w:t>λατεξ</w:t>
            </w:r>
            <w:proofErr w:type="spellEnd"/>
            <w:r w:rsidRPr="005963CA">
              <w:rPr>
                <w:rFonts w:cs="Arial"/>
                <w:lang w:val="el-GR"/>
              </w:rPr>
              <w:t xml:space="preserve">, </w:t>
            </w:r>
            <w:proofErr w:type="spellStart"/>
            <w:r w:rsidRPr="005963CA">
              <w:rPr>
                <w:rFonts w:cs="Arial"/>
                <w:lang w:val="el-GR"/>
              </w:rPr>
              <w:t>χωρις</w:t>
            </w:r>
            <w:proofErr w:type="spellEnd"/>
            <w:r w:rsidRPr="005963CA">
              <w:rPr>
                <w:rFonts w:cs="Arial"/>
                <w:lang w:val="el-GR"/>
              </w:rPr>
              <w:t xml:space="preserve"> πούδρα, μη αποστειρωμένα αμφιδέξια. </w:t>
            </w:r>
            <w:r w:rsidRPr="00826FF5">
              <w:rPr>
                <w:rFonts w:cs="Arial"/>
                <w:lang w:val="en-US"/>
              </w:rPr>
              <w:t xml:space="preserve">Medical 93/42/EEC, Class I, EN 455, PPE 89/686/EEC, Category III, EN 374, EN420, AQL 1.5. </w:t>
            </w:r>
            <w:proofErr w:type="spellStart"/>
            <w:r>
              <w:rPr>
                <w:rFonts w:cs="Arial"/>
              </w:rPr>
              <w:t>Μέγεθος</w:t>
            </w:r>
            <w:proofErr w:type="spellEnd"/>
            <w:r>
              <w:rPr>
                <w:rFonts w:cs="Arial"/>
              </w:rPr>
              <w:t xml:space="preserve"> Medium. </w:t>
            </w:r>
            <w:proofErr w:type="spellStart"/>
            <w:r>
              <w:rPr>
                <w:rFonts w:cs="Arial"/>
              </w:rPr>
              <w:t>Συσκευ</w:t>
            </w:r>
            <w:proofErr w:type="spellEnd"/>
            <w:r>
              <w:rPr>
                <w:rFonts w:cs="Arial"/>
              </w:rPr>
              <w:t>ασία 10x100</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777"/>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30</w:t>
            </w:r>
          </w:p>
        </w:tc>
        <w:tc>
          <w:tcPr>
            <w:tcW w:w="5342" w:type="dxa"/>
            <w:shd w:val="clear" w:color="auto" w:fill="auto"/>
            <w:vAlign w:val="center"/>
            <w:hideMark/>
          </w:tcPr>
          <w:p w:rsidR="00E944C7" w:rsidRDefault="00E944C7" w:rsidP="00AE0313">
            <w:pPr>
              <w:rPr>
                <w:rFonts w:cs="Arial"/>
              </w:rPr>
            </w:pPr>
            <w:r w:rsidRPr="005963CA">
              <w:rPr>
                <w:rFonts w:cs="Arial"/>
                <w:lang w:val="el-GR"/>
              </w:rPr>
              <w:t xml:space="preserve">Γάντια εξέτασης μίας χρήσης από </w:t>
            </w:r>
            <w:proofErr w:type="spellStart"/>
            <w:r w:rsidRPr="005963CA">
              <w:rPr>
                <w:rFonts w:cs="Arial"/>
                <w:lang w:val="el-GR"/>
              </w:rPr>
              <w:t>νιτρίλιο</w:t>
            </w:r>
            <w:proofErr w:type="spellEnd"/>
            <w:r w:rsidRPr="005963CA">
              <w:rPr>
                <w:rFonts w:cs="Arial"/>
                <w:lang w:val="el-GR"/>
              </w:rPr>
              <w:t xml:space="preserve">, χωρίς </w:t>
            </w:r>
            <w:proofErr w:type="spellStart"/>
            <w:r w:rsidRPr="005963CA">
              <w:rPr>
                <w:rFonts w:cs="Arial"/>
                <w:lang w:val="el-GR"/>
              </w:rPr>
              <w:t>λατεξ</w:t>
            </w:r>
            <w:proofErr w:type="spellEnd"/>
            <w:r w:rsidRPr="005963CA">
              <w:rPr>
                <w:rFonts w:cs="Arial"/>
                <w:lang w:val="el-GR"/>
              </w:rPr>
              <w:t xml:space="preserve">, </w:t>
            </w:r>
            <w:proofErr w:type="spellStart"/>
            <w:r w:rsidRPr="005963CA">
              <w:rPr>
                <w:rFonts w:cs="Arial"/>
                <w:lang w:val="el-GR"/>
              </w:rPr>
              <w:t>χωρις</w:t>
            </w:r>
            <w:proofErr w:type="spellEnd"/>
            <w:r w:rsidRPr="005963CA">
              <w:rPr>
                <w:rFonts w:cs="Arial"/>
                <w:lang w:val="el-GR"/>
              </w:rPr>
              <w:t xml:space="preserve"> πούδρα, μη αποστειρωμένα αμφιδέξια. </w:t>
            </w:r>
            <w:r w:rsidRPr="00826FF5">
              <w:rPr>
                <w:rFonts w:cs="Arial"/>
                <w:lang w:val="en-US"/>
              </w:rPr>
              <w:t xml:space="preserve">Medical 93/42/EEC, Class I, EN 455, PPE 89/686/EEC, Category III, EN 374, EN420, AQL 1.5. </w:t>
            </w:r>
            <w:proofErr w:type="spellStart"/>
            <w:r>
              <w:rPr>
                <w:rFonts w:cs="Arial"/>
              </w:rPr>
              <w:t>Μέγεθος</w:t>
            </w:r>
            <w:proofErr w:type="spellEnd"/>
            <w:r>
              <w:rPr>
                <w:rFonts w:cs="Arial"/>
              </w:rPr>
              <w:t xml:space="preserve"> Small. </w:t>
            </w:r>
            <w:proofErr w:type="spellStart"/>
            <w:r>
              <w:rPr>
                <w:rFonts w:cs="Arial"/>
              </w:rPr>
              <w:t>Συσκευ</w:t>
            </w:r>
            <w:proofErr w:type="spellEnd"/>
            <w:r>
              <w:rPr>
                <w:rFonts w:cs="Arial"/>
              </w:rPr>
              <w:t>ασία 10x100</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1800"/>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31</w:t>
            </w:r>
          </w:p>
        </w:tc>
        <w:tc>
          <w:tcPr>
            <w:tcW w:w="5342" w:type="dxa"/>
            <w:shd w:val="clear" w:color="auto" w:fill="auto"/>
            <w:vAlign w:val="center"/>
            <w:hideMark/>
          </w:tcPr>
          <w:p w:rsidR="00E944C7" w:rsidRDefault="00E944C7" w:rsidP="00AE0313">
            <w:pPr>
              <w:rPr>
                <w:rFonts w:cs="Arial"/>
              </w:rPr>
            </w:pPr>
            <w:proofErr w:type="spellStart"/>
            <w:proofErr w:type="gramStart"/>
            <w:r>
              <w:rPr>
                <w:rFonts w:cs="Arial"/>
              </w:rPr>
              <w:t>Έτοιμο</w:t>
            </w:r>
            <w:proofErr w:type="spellEnd"/>
            <w:r w:rsidRPr="005F261B">
              <w:rPr>
                <w:rFonts w:cs="Arial"/>
              </w:rPr>
              <w:t xml:space="preserve">  </w:t>
            </w:r>
            <w:r>
              <w:rPr>
                <w:rFonts w:cs="Arial"/>
              </w:rPr>
              <w:t>π</w:t>
            </w:r>
            <w:proofErr w:type="spellStart"/>
            <w:r>
              <w:rPr>
                <w:rFonts w:cs="Arial"/>
              </w:rPr>
              <w:t>ρος</w:t>
            </w:r>
            <w:proofErr w:type="spellEnd"/>
            <w:proofErr w:type="gramEnd"/>
            <w:r w:rsidRPr="005F261B">
              <w:rPr>
                <w:rFonts w:cs="Arial"/>
              </w:rPr>
              <w:t xml:space="preserve"> </w:t>
            </w:r>
            <w:proofErr w:type="spellStart"/>
            <w:r>
              <w:rPr>
                <w:rFonts w:cs="Arial"/>
              </w:rPr>
              <w:t>χρήση</w:t>
            </w:r>
            <w:proofErr w:type="spellEnd"/>
            <w:r w:rsidRPr="005F261B">
              <w:rPr>
                <w:rFonts w:cs="Arial"/>
              </w:rPr>
              <w:t xml:space="preserve"> </w:t>
            </w:r>
            <w:proofErr w:type="spellStart"/>
            <w:r>
              <w:rPr>
                <w:rFonts w:cs="Arial"/>
              </w:rPr>
              <w:t>μίγμ</w:t>
            </w:r>
            <w:proofErr w:type="spellEnd"/>
            <w:r>
              <w:rPr>
                <w:rFonts w:cs="Arial"/>
              </w:rPr>
              <w:t>α</w:t>
            </w:r>
            <w:r w:rsidRPr="005F261B">
              <w:rPr>
                <w:rFonts w:cs="Arial"/>
              </w:rPr>
              <w:t xml:space="preserve"> </w:t>
            </w:r>
            <w:proofErr w:type="spellStart"/>
            <w:r>
              <w:rPr>
                <w:rFonts w:cs="Arial"/>
              </w:rPr>
              <w:t>γι</w:t>
            </w:r>
            <w:proofErr w:type="spellEnd"/>
            <w:r>
              <w:rPr>
                <w:rFonts w:cs="Arial"/>
              </w:rPr>
              <w:t>α</w:t>
            </w:r>
            <w:r w:rsidRPr="005F261B">
              <w:rPr>
                <w:rFonts w:cs="Arial"/>
              </w:rPr>
              <w:t xml:space="preserve"> </w:t>
            </w:r>
            <w:r w:rsidRPr="00826FF5">
              <w:rPr>
                <w:rFonts w:cs="Arial"/>
                <w:lang w:val="en-US"/>
              </w:rPr>
              <w:t>first</w:t>
            </w:r>
            <w:r w:rsidRPr="005F261B">
              <w:rPr>
                <w:rFonts w:cs="Arial"/>
              </w:rPr>
              <w:t xml:space="preserve"> </w:t>
            </w:r>
            <w:r w:rsidRPr="00826FF5">
              <w:rPr>
                <w:rFonts w:cs="Arial"/>
                <w:lang w:val="en-US"/>
              </w:rPr>
              <w:t>strand</w:t>
            </w:r>
            <w:r w:rsidRPr="005F261B">
              <w:rPr>
                <w:rFonts w:cs="Arial"/>
              </w:rPr>
              <w:t xml:space="preserve"> </w:t>
            </w:r>
            <w:r w:rsidRPr="00826FF5">
              <w:rPr>
                <w:rFonts w:cs="Arial"/>
                <w:lang w:val="en-US"/>
              </w:rPr>
              <w:t>cDNA</w:t>
            </w:r>
            <w:r w:rsidRPr="005F261B">
              <w:rPr>
                <w:rFonts w:cs="Arial"/>
              </w:rPr>
              <w:t xml:space="preserve"> </w:t>
            </w:r>
            <w:r w:rsidRPr="00826FF5">
              <w:rPr>
                <w:rFonts w:cs="Arial"/>
                <w:lang w:val="en-US"/>
              </w:rPr>
              <w:t>synthesis</w:t>
            </w:r>
            <w:r w:rsidRPr="005F261B">
              <w:rPr>
                <w:rFonts w:cs="Arial"/>
              </w:rPr>
              <w:t xml:space="preserve"> </w:t>
            </w:r>
            <w:proofErr w:type="spellStart"/>
            <w:r>
              <w:rPr>
                <w:rFonts w:cs="Arial"/>
              </w:rPr>
              <w:t>το</w:t>
            </w:r>
            <w:proofErr w:type="spellEnd"/>
            <w:r w:rsidRPr="005F261B">
              <w:rPr>
                <w:rFonts w:cs="Arial"/>
              </w:rPr>
              <w:t xml:space="preserve"> </w:t>
            </w:r>
            <w:r>
              <w:rPr>
                <w:rFonts w:cs="Arial"/>
              </w:rPr>
              <w:t>οπ</w:t>
            </w:r>
            <w:proofErr w:type="spellStart"/>
            <w:r>
              <w:rPr>
                <w:rFonts w:cs="Arial"/>
              </w:rPr>
              <w:t>οίο</w:t>
            </w:r>
            <w:proofErr w:type="spellEnd"/>
            <w:r w:rsidRPr="005F261B">
              <w:rPr>
                <w:rFonts w:cs="Arial"/>
              </w:rPr>
              <w:t xml:space="preserve"> </w:t>
            </w:r>
            <w:r>
              <w:rPr>
                <w:rFonts w:cs="Arial"/>
              </w:rPr>
              <w:t>να</w:t>
            </w:r>
            <w:r w:rsidRPr="005F261B">
              <w:rPr>
                <w:rFonts w:cs="Arial"/>
              </w:rPr>
              <w:t xml:space="preserve"> </w:t>
            </w:r>
            <w:r>
              <w:rPr>
                <w:rFonts w:cs="Arial"/>
              </w:rPr>
              <w:t>π</w:t>
            </w:r>
            <w:proofErr w:type="spellStart"/>
            <w:r>
              <w:rPr>
                <w:rFonts w:cs="Arial"/>
              </w:rPr>
              <w:t>εριέχει</w:t>
            </w:r>
            <w:proofErr w:type="spellEnd"/>
            <w:r w:rsidRPr="005F261B">
              <w:rPr>
                <w:rFonts w:cs="Arial"/>
              </w:rPr>
              <w:t xml:space="preserve">: </w:t>
            </w:r>
            <w:r>
              <w:rPr>
                <w:rFonts w:cs="Arial"/>
              </w:rPr>
              <w:t>α</w:t>
            </w:r>
            <w:proofErr w:type="spellStart"/>
            <w:r>
              <w:rPr>
                <w:rFonts w:cs="Arial"/>
              </w:rPr>
              <w:t>ντίστροφη</w:t>
            </w:r>
            <w:proofErr w:type="spellEnd"/>
            <w:r w:rsidRPr="005F261B">
              <w:rPr>
                <w:rFonts w:cs="Arial"/>
              </w:rPr>
              <w:t xml:space="preserve"> </w:t>
            </w:r>
            <w:proofErr w:type="spellStart"/>
            <w:r>
              <w:rPr>
                <w:rFonts w:cs="Arial"/>
              </w:rPr>
              <w:t>μετ</w:t>
            </w:r>
            <w:proofErr w:type="spellEnd"/>
            <w:r>
              <w:rPr>
                <w:rFonts w:cs="Arial"/>
              </w:rPr>
              <w:t>αγραφάση</w:t>
            </w:r>
            <w:r w:rsidRPr="005F261B">
              <w:rPr>
                <w:rFonts w:cs="Arial"/>
              </w:rPr>
              <w:t xml:space="preserve"> </w:t>
            </w:r>
            <w:proofErr w:type="spellStart"/>
            <w:r>
              <w:rPr>
                <w:rFonts w:cs="Arial"/>
              </w:rPr>
              <w:t>με</w:t>
            </w:r>
            <w:proofErr w:type="spellEnd"/>
            <w:r w:rsidRPr="005F261B">
              <w:rPr>
                <w:rFonts w:cs="Arial"/>
              </w:rPr>
              <w:t xml:space="preserve"> </w:t>
            </w:r>
            <w:r>
              <w:rPr>
                <w:rFonts w:cs="Arial"/>
              </w:rPr>
              <w:t>α</w:t>
            </w:r>
            <w:proofErr w:type="spellStart"/>
            <w:r>
              <w:rPr>
                <w:rFonts w:cs="Arial"/>
              </w:rPr>
              <w:t>υξημένη</w:t>
            </w:r>
            <w:proofErr w:type="spellEnd"/>
            <w:r w:rsidRPr="005F261B">
              <w:rPr>
                <w:rFonts w:cs="Arial"/>
              </w:rPr>
              <w:t xml:space="preserve"> </w:t>
            </w:r>
            <w:proofErr w:type="spellStart"/>
            <w:r>
              <w:rPr>
                <w:rFonts w:cs="Arial"/>
              </w:rPr>
              <w:t>θερμο</w:t>
            </w:r>
            <w:proofErr w:type="spellEnd"/>
            <w:r>
              <w:rPr>
                <w:rFonts w:cs="Arial"/>
              </w:rPr>
              <w:t>αντοχή</w:t>
            </w:r>
            <w:r w:rsidRPr="005F261B">
              <w:rPr>
                <w:rFonts w:cs="Arial"/>
              </w:rPr>
              <w:t xml:space="preserve">, </w:t>
            </w:r>
            <w:r>
              <w:rPr>
                <w:rFonts w:cs="Arial"/>
              </w:rPr>
              <w:t>πα</w:t>
            </w:r>
            <w:proofErr w:type="spellStart"/>
            <w:r>
              <w:rPr>
                <w:rFonts w:cs="Arial"/>
              </w:rPr>
              <w:t>ρεμ</w:t>
            </w:r>
            <w:proofErr w:type="spellEnd"/>
            <w:r>
              <w:rPr>
                <w:rFonts w:cs="Arial"/>
              </w:rPr>
              <w:t>ποδιστή</w:t>
            </w:r>
            <w:r w:rsidRPr="005F261B">
              <w:rPr>
                <w:rFonts w:cs="Arial"/>
              </w:rPr>
              <w:t xml:space="preserve"> </w:t>
            </w:r>
            <w:proofErr w:type="spellStart"/>
            <w:r>
              <w:rPr>
                <w:rFonts w:cs="Arial"/>
              </w:rPr>
              <w:t>της</w:t>
            </w:r>
            <w:proofErr w:type="spellEnd"/>
            <w:r w:rsidRPr="005F261B">
              <w:rPr>
                <w:rFonts w:cs="Arial"/>
              </w:rPr>
              <w:t xml:space="preserve"> </w:t>
            </w:r>
            <w:proofErr w:type="spellStart"/>
            <w:r>
              <w:rPr>
                <w:rFonts w:cs="Arial"/>
              </w:rPr>
              <w:t>δράσης</w:t>
            </w:r>
            <w:proofErr w:type="spellEnd"/>
            <w:r w:rsidRPr="005F261B">
              <w:rPr>
                <w:rFonts w:cs="Arial"/>
              </w:rPr>
              <w:t xml:space="preserve"> </w:t>
            </w:r>
            <w:proofErr w:type="spellStart"/>
            <w:r>
              <w:rPr>
                <w:rFonts w:cs="Arial"/>
              </w:rPr>
              <w:t>των</w:t>
            </w:r>
            <w:proofErr w:type="spellEnd"/>
            <w:r w:rsidRPr="005F261B">
              <w:rPr>
                <w:rFonts w:cs="Arial"/>
              </w:rPr>
              <w:t xml:space="preserve"> </w:t>
            </w:r>
            <w:proofErr w:type="spellStart"/>
            <w:r>
              <w:rPr>
                <w:rFonts w:cs="Arial"/>
              </w:rPr>
              <w:t>ρι</w:t>
            </w:r>
            <w:proofErr w:type="spellEnd"/>
            <w:r>
              <w:rPr>
                <w:rFonts w:cs="Arial"/>
              </w:rPr>
              <w:t>βονουκλεασών</w:t>
            </w:r>
            <w:r w:rsidRPr="005F261B">
              <w:rPr>
                <w:rFonts w:cs="Arial"/>
              </w:rPr>
              <w:t xml:space="preserve"> (</w:t>
            </w:r>
            <w:proofErr w:type="spellStart"/>
            <w:r w:rsidRPr="00826FF5">
              <w:rPr>
                <w:rFonts w:cs="Arial"/>
                <w:lang w:val="en-US"/>
              </w:rPr>
              <w:t>Rnase</w:t>
            </w:r>
            <w:proofErr w:type="spellEnd"/>
            <w:r w:rsidRPr="005F261B">
              <w:rPr>
                <w:rFonts w:cs="Arial"/>
              </w:rPr>
              <w:t xml:space="preserve"> </w:t>
            </w:r>
            <w:r w:rsidRPr="00826FF5">
              <w:rPr>
                <w:rFonts w:cs="Arial"/>
                <w:lang w:val="en-US"/>
              </w:rPr>
              <w:t>A</w:t>
            </w:r>
            <w:r w:rsidRPr="005F261B">
              <w:rPr>
                <w:rFonts w:cs="Arial"/>
              </w:rPr>
              <w:t>,</w:t>
            </w:r>
            <w:r w:rsidRPr="00826FF5">
              <w:rPr>
                <w:rFonts w:cs="Arial"/>
                <w:lang w:val="en-US"/>
              </w:rPr>
              <w:t>B</w:t>
            </w:r>
            <w:r w:rsidRPr="005F261B">
              <w:rPr>
                <w:rFonts w:cs="Arial"/>
              </w:rPr>
              <w:t>,</w:t>
            </w:r>
            <w:r w:rsidRPr="00826FF5">
              <w:rPr>
                <w:rFonts w:cs="Arial"/>
                <w:lang w:val="en-US"/>
              </w:rPr>
              <w:t>C</w:t>
            </w:r>
            <w:r w:rsidRPr="005F261B">
              <w:rPr>
                <w:rFonts w:cs="Arial"/>
              </w:rPr>
              <w:t xml:space="preserve">) </w:t>
            </w:r>
            <w:proofErr w:type="spellStart"/>
            <w:r>
              <w:rPr>
                <w:rFonts w:cs="Arial"/>
              </w:rPr>
              <w:t>δεοξυνουκλεοτίδι</w:t>
            </w:r>
            <w:proofErr w:type="spellEnd"/>
            <w:r>
              <w:rPr>
                <w:rFonts w:cs="Arial"/>
              </w:rPr>
              <w:t>α</w:t>
            </w:r>
            <w:r w:rsidRPr="005F261B">
              <w:rPr>
                <w:rFonts w:cs="Arial"/>
              </w:rPr>
              <w:t xml:space="preserve">, </w:t>
            </w:r>
            <w:r w:rsidRPr="00826FF5">
              <w:rPr>
                <w:rFonts w:cs="Arial"/>
                <w:lang w:val="en-US"/>
              </w:rPr>
              <w:t>random</w:t>
            </w:r>
            <w:r w:rsidRPr="005F261B">
              <w:rPr>
                <w:rFonts w:cs="Arial"/>
              </w:rPr>
              <w:t xml:space="preserve"> </w:t>
            </w:r>
            <w:proofErr w:type="spellStart"/>
            <w:r w:rsidRPr="00826FF5">
              <w:rPr>
                <w:rFonts w:cs="Arial"/>
                <w:lang w:val="en-US"/>
              </w:rPr>
              <w:t>hexamers</w:t>
            </w:r>
            <w:proofErr w:type="spellEnd"/>
            <w:r w:rsidRPr="005F261B">
              <w:rPr>
                <w:rFonts w:cs="Arial"/>
              </w:rPr>
              <w:t xml:space="preserve">    </w:t>
            </w:r>
            <w:r>
              <w:rPr>
                <w:rFonts w:cs="Arial"/>
              </w:rPr>
              <w:t>και</w:t>
            </w:r>
            <w:r w:rsidRPr="005F261B">
              <w:rPr>
                <w:rFonts w:cs="Arial"/>
              </w:rPr>
              <w:t xml:space="preserve"> </w:t>
            </w:r>
            <w:proofErr w:type="spellStart"/>
            <w:r w:rsidRPr="00826FF5">
              <w:rPr>
                <w:rFonts w:cs="Arial"/>
                <w:lang w:val="en-US"/>
              </w:rPr>
              <w:t>oligo</w:t>
            </w:r>
            <w:proofErr w:type="spellEnd"/>
            <w:r w:rsidRPr="005F261B">
              <w:rPr>
                <w:rFonts w:cs="Arial"/>
              </w:rPr>
              <w:t>-</w:t>
            </w:r>
            <w:proofErr w:type="spellStart"/>
            <w:r w:rsidRPr="00826FF5">
              <w:rPr>
                <w:rFonts w:cs="Arial"/>
                <w:lang w:val="en-US"/>
              </w:rPr>
              <w:t>dT</w:t>
            </w:r>
            <w:proofErr w:type="spellEnd"/>
            <w:r w:rsidRPr="005F261B">
              <w:rPr>
                <w:rFonts w:cs="Arial"/>
              </w:rPr>
              <w:t xml:space="preserve"> </w:t>
            </w:r>
            <w:r w:rsidRPr="00826FF5">
              <w:rPr>
                <w:rFonts w:cs="Arial"/>
                <w:lang w:val="en-US"/>
              </w:rPr>
              <w:t>primers</w:t>
            </w:r>
            <w:r w:rsidRPr="005F261B">
              <w:rPr>
                <w:rFonts w:cs="Arial"/>
              </w:rPr>
              <w:t xml:space="preserve">, </w:t>
            </w:r>
            <w:proofErr w:type="spellStart"/>
            <w:r>
              <w:rPr>
                <w:rFonts w:cs="Arial"/>
              </w:rPr>
              <w:t>όλ</w:t>
            </w:r>
            <w:proofErr w:type="spellEnd"/>
            <w:r>
              <w:rPr>
                <w:rFonts w:cs="Arial"/>
              </w:rPr>
              <w:t>α</w:t>
            </w:r>
            <w:r w:rsidRPr="005F261B">
              <w:rPr>
                <w:rFonts w:cs="Arial"/>
              </w:rPr>
              <w:t xml:space="preserve"> </w:t>
            </w:r>
            <w:proofErr w:type="spellStart"/>
            <w:r>
              <w:rPr>
                <w:rFonts w:cs="Arial"/>
              </w:rPr>
              <w:t>σε</w:t>
            </w:r>
            <w:proofErr w:type="spellEnd"/>
            <w:r w:rsidRPr="005F261B">
              <w:rPr>
                <w:rFonts w:cs="Arial"/>
              </w:rPr>
              <w:t xml:space="preserve"> </w:t>
            </w:r>
            <w:proofErr w:type="spellStart"/>
            <w:r>
              <w:rPr>
                <w:rFonts w:cs="Arial"/>
              </w:rPr>
              <w:t>έν</w:t>
            </w:r>
            <w:proofErr w:type="spellEnd"/>
            <w:r>
              <w:rPr>
                <w:rFonts w:cs="Arial"/>
              </w:rPr>
              <w:t>α</w:t>
            </w:r>
            <w:r w:rsidRPr="005F261B">
              <w:rPr>
                <w:rFonts w:cs="Arial"/>
              </w:rPr>
              <w:t xml:space="preserve"> </w:t>
            </w:r>
            <w:proofErr w:type="spellStart"/>
            <w:r>
              <w:rPr>
                <w:rFonts w:cs="Arial"/>
              </w:rPr>
              <w:t>φι</w:t>
            </w:r>
            <w:proofErr w:type="spellEnd"/>
            <w:r>
              <w:rPr>
                <w:rFonts w:cs="Arial"/>
              </w:rPr>
              <w:t>αλίδιο</w:t>
            </w:r>
            <w:r w:rsidRPr="005F261B">
              <w:rPr>
                <w:rFonts w:cs="Arial"/>
              </w:rPr>
              <w:t xml:space="preserve">. </w:t>
            </w:r>
            <w:r w:rsidRPr="005963CA">
              <w:rPr>
                <w:rFonts w:cs="Arial"/>
                <w:lang w:val="el-GR"/>
              </w:rPr>
              <w:t xml:space="preserve">Το μίγμα να είναι έγχρωμο ώστε να διευκολύνει το </w:t>
            </w:r>
            <w:proofErr w:type="spellStart"/>
            <w:r w:rsidRPr="005963CA">
              <w:rPr>
                <w:rFonts w:cs="Arial"/>
                <w:lang w:val="el-GR"/>
              </w:rPr>
              <w:t>πιπετάρισμα</w:t>
            </w:r>
            <w:proofErr w:type="spellEnd"/>
            <w:r w:rsidRPr="005963CA">
              <w:rPr>
                <w:rFonts w:cs="Arial"/>
                <w:lang w:val="el-GR"/>
              </w:rPr>
              <w:t xml:space="preserve"> και η χρωστική που περιέχει να μην παρεμβαίνει στην αντίδραση. Το μίγμα να μπορεί να παραμείνει σε θερμοκρασία δωματίου για μερικές μέρες και η  προετοιμασία της αντίδρασης (</w:t>
            </w:r>
            <w:r>
              <w:rPr>
                <w:rFonts w:cs="Arial"/>
              </w:rPr>
              <w:t>setup</w:t>
            </w:r>
            <w:r w:rsidRPr="005963CA">
              <w:rPr>
                <w:rFonts w:cs="Arial"/>
                <w:lang w:val="el-GR"/>
              </w:rPr>
              <w:t xml:space="preserve">) να μπορεί να πραγματοποιείται σε θερμοκρασία δωματίου. Ο χρόνος αντίδρασης να μην </w:t>
            </w:r>
            <w:proofErr w:type="spellStart"/>
            <w:r w:rsidRPr="005963CA">
              <w:rPr>
                <w:rFonts w:cs="Arial"/>
                <w:lang w:val="el-GR"/>
              </w:rPr>
              <w:t>υπεβαίνει</w:t>
            </w:r>
            <w:proofErr w:type="spellEnd"/>
            <w:r w:rsidRPr="005963CA">
              <w:rPr>
                <w:rFonts w:cs="Arial"/>
                <w:lang w:val="el-GR"/>
              </w:rPr>
              <w:t xml:space="preserve"> τα 15 λεπτά. Να επιτρέπει τη σύνθεση συμπληρωματικού </w:t>
            </w:r>
            <w:r>
              <w:rPr>
                <w:rFonts w:cs="Arial"/>
              </w:rPr>
              <w:t>DNA</w:t>
            </w:r>
            <w:r w:rsidRPr="005963CA">
              <w:rPr>
                <w:rFonts w:cs="Arial"/>
                <w:lang w:val="el-GR"/>
              </w:rPr>
              <w:t xml:space="preserve"> από αρχική </w:t>
            </w:r>
            <w:r w:rsidRPr="005963CA">
              <w:rPr>
                <w:rFonts w:cs="Arial"/>
                <w:lang w:val="el-GR"/>
              </w:rPr>
              <w:lastRenderedPageBreak/>
              <w:t xml:space="preserve">ποσότητα </w:t>
            </w:r>
            <w:r>
              <w:rPr>
                <w:rFonts w:cs="Arial"/>
              </w:rPr>
              <w:t>total</w:t>
            </w:r>
            <w:r w:rsidRPr="005963CA">
              <w:rPr>
                <w:rFonts w:cs="Arial"/>
                <w:lang w:val="el-GR"/>
              </w:rPr>
              <w:t xml:space="preserve"> </w:t>
            </w:r>
            <w:r>
              <w:rPr>
                <w:rFonts w:cs="Arial"/>
              </w:rPr>
              <w:t>RNA</w:t>
            </w:r>
            <w:r w:rsidRPr="005963CA">
              <w:rPr>
                <w:rFonts w:cs="Arial"/>
                <w:lang w:val="el-GR"/>
              </w:rPr>
              <w:t xml:space="preserve"> έως 1 μ</w:t>
            </w:r>
            <w:r>
              <w:rPr>
                <w:rFonts w:cs="Arial"/>
              </w:rPr>
              <w:t>g</w:t>
            </w:r>
            <w:r w:rsidRPr="005963CA">
              <w:rPr>
                <w:rFonts w:cs="Arial"/>
                <w:lang w:val="el-GR"/>
              </w:rPr>
              <w:t xml:space="preserve"> αλλά να δύναται να ανιχνεύει και μεμονωμένα αντίγραφα (</w:t>
            </w:r>
            <w:r>
              <w:rPr>
                <w:rFonts w:cs="Arial"/>
              </w:rPr>
              <w:t>single</w:t>
            </w:r>
            <w:r w:rsidRPr="005963CA">
              <w:rPr>
                <w:rFonts w:cs="Arial"/>
                <w:lang w:val="el-GR"/>
              </w:rPr>
              <w:t xml:space="preserve"> </w:t>
            </w:r>
            <w:r>
              <w:rPr>
                <w:rFonts w:cs="Arial"/>
              </w:rPr>
              <w:t>copies</w:t>
            </w:r>
            <w:r w:rsidRPr="005963CA">
              <w:rPr>
                <w:rFonts w:cs="Arial"/>
                <w:lang w:val="el-GR"/>
              </w:rPr>
              <w:t xml:space="preserve">) </w:t>
            </w:r>
            <w:r>
              <w:rPr>
                <w:rFonts w:cs="Arial"/>
              </w:rPr>
              <w:t>RNA</w:t>
            </w:r>
            <w:r w:rsidRPr="005963CA">
              <w:rPr>
                <w:rFonts w:cs="Arial"/>
                <w:lang w:val="el-GR"/>
              </w:rPr>
              <w:t xml:space="preserve">. Να παρέχει εξαιρετική ευαισθησία γραμμικότητα και </w:t>
            </w:r>
            <w:proofErr w:type="spellStart"/>
            <w:r w:rsidRPr="005963CA">
              <w:rPr>
                <w:rFonts w:cs="Arial"/>
                <w:lang w:val="el-GR"/>
              </w:rPr>
              <w:t>επαναληψιμότητα</w:t>
            </w:r>
            <w:proofErr w:type="spellEnd"/>
            <w:r w:rsidRPr="005963CA">
              <w:rPr>
                <w:rFonts w:cs="Arial"/>
                <w:lang w:val="el-GR"/>
              </w:rPr>
              <w:t xml:space="preserve"> σε ακόλουθη αντίδραση </w:t>
            </w:r>
            <w:r>
              <w:rPr>
                <w:rFonts w:cs="Arial"/>
              </w:rPr>
              <w:t>real</w:t>
            </w:r>
            <w:r w:rsidRPr="005963CA">
              <w:rPr>
                <w:rFonts w:cs="Arial"/>
                <w:lang w:val="el-GR"/>
              </w:rPr>
              <w:t>_</w:t>
            </w:r>
            <w:r>
              <w:rPr>
                <w:rFonts w:cs="Arial"/>
              </w:rPr>
              <w:t>time</w:t>
            </w:r>
            <w:r w:rsidRPr="005963CA">
              <w:rPr>
                <w:rFonts w:cs="Arial"/>
                <w:lang w:val="el-GR"/>
              </w:rPr>
              <w:t xml:space="preserve"> </w:t>
            </w:r>
            <w:r>
              <w:rPr>
                <w:rFonts w:cs="Arial"/>
              </w:rPr>
              <w:t>PCR</w:t>
            </w:r>
            <w:r w:rsidRPr="005963CA">
              <w:rPr>
                <w:rFonts w:cs="Arial"/>
                <w:lang w:val="el-GR"/>
              </w:rPr>
              <w:t xml:space="preserve">. Με το μίγμα αντίδρασης να παρέχεται επιπλέον νερό απαλλαγμένο από </w:t>
            </w:r>
            <w:proofErr w:type="spellStart"/>
            <w:r w:rsidRPr="005963CA">
              <w:rPr>
                <w:rFonts w:cs="Arial"/>
                <w:lang w:val="el-GR"/>
              </w:rPr>
              <w:t>νουκλεάσες</w:t>
            </w:r>
            <w:proofErr w:type="spellEnd"/>
            <w:r w:rsidRPr="005963CA">
              <w:rPr>
                <w:rFonts w:cs="Arial"/>
                <w:lang w:val="el-GR"/>
              </w:rPr>
              <w:t xml:space="preserve"> και αρνητικό </w:t>
            </w:r>
            <w:r>
              <w:rPr>
                <w:rFonts w:cs="Arial"/>
              </w:rPr>
              <w:t>control</w:t>
            </w:r>
            <w:r w:rsidRPr="005963CA">
              <w:rPr>
                <w:rFonts w:cs="Arial"/>
                <w:lang w:val="el-GR"/>
              </w:rPr>
              <w:t xml:space="preserve"> (</w:t>
            </w:r>
            <w:r>
              <w:rPr>
                <w:rFonts w:cs="Arial"/>
              </w:rPr>
              <w:t>No</w:t>
            </w:r>
            <w:r w:rsidRPr="005963CA">
              <w:rPr>
                <w:rFonts w:cs="Arial"/>
                <w:lang w:val="el-GR"/>
              </w:rPr>
              <w:t>-</w:t>
            </w:r>
            <w:r>
              <w:rPr>
                <w:rFonts w:cs="Arial"/>
              </w:rPr>
              <w:t>RT</w:t>
            </w:r>
            <w:r w:rsidRPr="005963CA">
              <w:rPr>
                <w:rFonts w:cs="Arial"/>
                <w:lang w:val="el-GR"/>
              </w:rPr>
              <w:t xml:space="preserve"> </w:t>
            </w:r>
            <w:r>
              <w:rPr>
                <w:rFonts w:cs="Arial"/>
              </w:rPr>
              <w:t>control</w:t>
            </w:r>
            <w:r w:rsidRPr="005963CA">
              <w:rPr>
                <w:rFonts w:cs="Arial"/>
                <w:lang w:val="el-GR"/>
              </w:rPr>
              <w:t xml:space="preserve"> </w:t>
            </w:r>
            <w:r>
              <w:rPr>
                <w:rFonts w:cs="Arial"/>
              </w:rPr>
              <w:t>mix</w:t>
            </w:r>
            <w:r w:rsidRPr="005963CA">
              <w:rPr>
                <w:rFonts w:cs="Arial"/>
                <w:lang w:val="el-GR"/>
              </w:rPr>
              <w:t xml:space="preserve">). </w:t>
            </w:r>
            <w:r>
              <w:rPr>
                <w:rFonts w:cs="Arial"/>
              </w:rPr>
              <w:t>ΣΥΣΚΕΥΑΣΙΑ: 10 ΑΝΤΙΔΡΑΣΕΙΣ.</w:t>
            </w:r>
          </w:p>
        </w:tc>
        <w:tc>
          <w:tcPr>
            <w:tcW w:w="1134" w:type="dxa"/>
          </w:tcPr>
          <w:p w:rsidR="00E944C7" w:rsidRDefault="00E944C7" w:rsidP="00AE0313">
            <w:pPr>
              <w:rPr>
                <w:rFonts w:cs="Arial"/>
              </w:rPr>
            </w:pPr>
          </w:p>
        </w:tc>
        <w:tc>
          <w:tcPr>
            <w:tcW w:w="1134" w:type="dxa"/>
          </w:tcPr>
          <w:p w:rsidR="00E944C7" w:rsidRDefault="00E944C7" w:rsidP="00AE0313">
            <w:pPr>
              <w:rPr>
                <w:rFonts w:cs="Arial"/>
              </w:rPr>
            </w:pPr>
          </w:p>
        </w:tc>
        <w:tc>
          <w:tcPr>
            <w:tcW w:w="1666" w:type="dxa"/>
          </w:tcPr>
          <w:p w:rsidR="00E944C7" w:rsidRDefault="00E944C7" w:rsidP="00AE0313">
            <w:pPr>
              <w:rPr>
                <w:rFonts w:cs="Arial"/>
              </w:rPr>
            </w:pPr>
          </w:p>
        </w:tc>
      </w:tr>
      <w:tr w:rsidR="00E944C7" w:rsidRPr="00DF0BB6" w:rsidTr="00AE0313">
        <w:trPr>
          <w:trHeight w:val="840"/>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lastRenderedPageBreak/>
              <w:t>32</w:t>
            </w:r>
          </w:p>
        </w:tc>
        <w:tc>
          <w:tcPr>
            <w:tcW w:w="5342" w:type="dxa"/>
            <w:shd w:val="clear" w:color="auto" w:fill="auto"/>
            <w:vAlign w:val="center"/>
            <w:hideMark/>
          </w:tcPr>
          <w:p w:rsidR="00E944C7" w:rsidRDefault="00E944C7" w:rsidP="00AE0313">
            <w:pPr>
              <w:rPr>
                <w:rFonts w:cs="Arial"/>
              </w:rPr>
            </w:pPr>
            <w:proofErr w:type="spellStart"/>
            <w:r w:rsidRPr="005963CA">
              <w:rPr>
                <w:rFonts w:cs="Arial"/>
                <w:lang w:val="el-GR"/>
              </w:rPr>
              <w:t>Πολυκλωνικό</w:t>
            </w:r>
            <w:proofErr w:type="spellEnd"/>
            <w:r w:rsidRPr="005963CA">
              <w:rPr>
                <w:rFonts w:cs="Arial"/>
                <w:lang w:val="el-GR"/>
              </w:rPr>
              <w:t xml:space="preserve"> αντίσωμα που έχει παραχθεί σε κουνέλι  για </w:t>
            </w:r>
            <w:proofErr w:type="spellStart"/>
            <w:r>
              <w:rPr>
                <w:rFonts w:cs="Arial"/>
              </w:rPr>
              <w:t>Phospho</w:t>
            </w:r>
            <w:proofErr w:type="spellEnd"/>
            <w:r w:rsidRPr="005963CA">
              <w:rPr>
                <w:rFonts w:cs="Arial"/>
                <w:lang w:val="el-GR"/>
              </w:rPr>
              <w:t>-</w:t>
            </w:r>
            <w:proofErr w:type="spellStart"/>
            <w:r>
              <w:rPr>
                <w:rFonts w:cs="Arial"/>
              </w:rPr>
              <w:t>Akt</w:t>
            </w:r>
            <w:proofErr w:type="spellEnd"/>
            <w:r w:rsidRPr="005963CA">
              <w:rPr>
                <w:rFonts w:cs="Arial"/>
                <w:lang w:val="el-GR"/>
              </w:rPr>
              <w:t xml:space="preserve"> (</w:t>
            </w:r>
            <w:proofErr w:type="spellStart"/>
            <w:r>
              <w:rPr>
                <w:rFonts w:cs="Arial"/>
              </w:rPr>
              <w:t>Ser</w:t>
            </w:r>
            <w:proofErr w:type="spellEnd"/>
            <w:r w:rsidRPr="005963CA">
              <w:rPr>
                <w:rFonts w:cs="Arial"/>
                <w:lang w:val="el-GR"/>
              </w:rPr>
              <w:t>473), πιστοποιημένο (</w:t>
            </w:r>
            <w:r>
              <w:rPr>
                <w:rFonts w:cs="Arial"/>
              </w:rPr>
              <w:t>validated</w:t>
            </w:r>
            <w:r w:rsidRPr="005963CA">
              <w:rPr>
                <w:rFonts w:cs="Arial"/>
                <w:lang w:val="el-GR"/>
              </w:rPr>
              <w:t xml:space="preserve">)  για χρήση στις τεχνικές </w:t>
            </w:r>
            <w:proofErr w:type="spellStart"/>
            <w:r w:rsidRPr="005963CA">
              <w:rPr>
                <w:rFonts w:cs="Arial"/>
                <w:lang w:val="el-GR"/>
              </w:rPr>
              <w:t>Ανοσοαποτύπωσης</w:t>
            </w:r>
            <w:proofErr w:type="spellEnd"/>
            <w:r w:rsidRPr="005963CA">
              <w:rPr>
                <w:rFonts w:cs="Arial"/>
                <w:lang w:val="el-GR"/>
              </w:rPr>
              <w:t xml:space="preserve"> (</w:t>
            </w:r>
            <w:r>
              <w:rPr>
                <w:rFonts w:cs="Arial"/>
              </w:rPr>
              <w:t>Western</w:t>
            </w:r>
            <w:r w:rsidRPr="005963CA">
              <w:rPr>
                <w:rFonts w:cs="Arial"/>
                <w:lang w:val="el-GR"/>
              </w:rPr>
              <w:t xml:space="preserve">),  </w:t>
            </w:r>
            <w:proofErr w:type="spellStart"/>
            <w:r w:rsidRPr="005963CA">
              <w:rPr>
                <w:rFonts w:cs="Arial"/>
                <w:lang w:val="el-GR"/>
              </w:rPr>
              <w:t>Ανοσοκατακρήμνισης</w:t>
            </w:r>
            <w:proofErr w:type="spellEnd"/>
            <w:r w:rsidRPr="005963CA">
              <w:rPr>
                <w:rFonts w:cs="Arial"/>
                <w:lang w:val="el-GR"/>
              </w:rPr>
              <w:t xml:space="preserve"> (</w:t>
            </w:r>
            <w:r>
              <w:rPr>
                <w:rFonts w:cs="Arial"/>
              </w:rPr>
              <w:t>IP</w:t>
            </w:r>
            <w:r w:rsidRPr="005963CA">
              <w:rPr>
                <w:rFonts w:cs="Arial"/>
                <w:lang w:val="el-GR"/>
              </w:rPr>
              <w:t xml:space="preserve">),  </w:t>
            </w:r>
            <w:proofErr w:type="spellStart"/>
            <w:r w:rsidRPr="005963CA">
              <w:rPr>
                <w:rFonts w:cs="Arial"/>
                <w:lang w:val="el-GR"/>
              </w:rPr>
              <w:t>Ανοσοφθορισμού</w:t>
            </w:r>
            <w:proofErr w:type="spellEnd"/>
            <w:r w:rsidRPr="005963CA">
              <w:rPr>
                <w:rFonts w:cs="Arial"/>
                <w:lang w:val="el-GR"/>
              </w:rPr>
              <w:t xml:space="preserve"> (</w:t>
            </w:r>
            <w:r>
              <w:rPr>
                <w:rFonts w:cs="Arial"/>
              </w:rPr>
              <w:t>IF</w:t>
            </w:r>
            <w:r w:rsidRPr="005963CA">
              <w:rPr>
                <w:rFonts w:cs="Arial"/>
                <w:lang w:val="el-GR"/>
              </w:rPr>
              <w:t xml:space="preserve">) και </w:t>
            </w:r>
            <w:proofErr w:type="spellStart"/>
            <w:r w:rsidRPr="005963CA">
              <w:rPr>
                <w:rFonts w:cs="Arial"/>
                <w:lang w:val="el-GR"/>
              </w:rPr>
              <w:t>κυτταρομετρίας</w:t>
            </w:r>
            <w:proofErr w:type="spellEnd"/>
            <w:r w:rsidRPr="005963CA">
              <w:rPr>
                <w:rFonts w:cs="Arial"/>
                <w:lang w:val="el-GR"/>
              </w:rPr>
              <w:t xml:space="preserve"> ροής (</w:t>
            </w:r>
            <w:r>
              <w:rPr>
                <w:rFonts w:cs="Arial"/>
              </w:rPr>
              <w:t>F</w:t>
            </w:r>
            <w:r w:rsidRPr="005963CA">
              <w:rPr>
                <w:rFonts w:cs="Arial"/>
                <w:lang w:val="el-GR"/>
              </w:rPr>
              <w:t xml:space="preserve">).  Να ανιχνεύει τα ενδογενή επίπεδα της </w:t>
            </w:r>
            <w:proofErr w:type="spellStart"/>
            <w:r>
              <w:rPr>
                <w:rFonts w:cs="Arial"/>
              </w:rPr>
              <w:t>Akt</w:t>
            </w:r>
            <w:proofErr w:type="spellEnd"/>
            <w:r w:rsidRPr="005963CA">
              <w:rPr>
                <w:rFonts w:cs="Arial"/>
                <w:lang w:val="el-GR"/>
              </w:rPr>
              <w:t xml:space="preserve">1  μόνο όταν είναι </w:t>
            </w:r>
            <w:proofErr w:type="spellStart"/>
            <w:r w:rsidRPr="005963CA">
              <w:rPr>
                <w:rFonts w:cs="Arial"/>
                <w:lang w:val="el-GR"/>
              </w:rPr>
              <w:t>φωσφορυλιωμένη</w:t>
            </w:r>
            <w:proofErr w:type="spellEnd"/>
            <w:r w:rsidRPr="005963CA">
              <w:rPr>
                <w:rFonts w:cs="Arial"/>
                <w:lang w:val="el-GR"/>
              </w:rPr>
              <w:t xml:space="preserve"> στη </w:t>
            </w:r>
            <w:proofErr w:type="spellStart"/>
            <w:r>
              <w:rPr>
                <w:rFonts w:cs="Arial"/>
              </w:rPr>
              <w:t>Ser</w:t>
            </w:r>
            <w:proofErr w:type="spellEnd"/>
            <w:r w:rsidRPr="005963CA">
              <w:rPr>
                <w:rFonts w:cs="Arial"/>
                <w:lang w:val="el-GR"/>
              </w:rPr>
              <w:t xml:space="preserve">473. Επίσης να αναγνωρίζει τις </w:t>
            </w:r>
            <w:proofErr w:type="spellStart"/>
            <w:r>
              <w:rPr>
                <w:rFonts w:cs="Arial"/>
              </w:rPr>
              <w:t>Akt</w:t>
            </w:r>
            <w:proofErr w:type="spellEnd"/>
            <w:r w:rsidRPr="005963CA">
              <w:rPr>
                <w:rFonts w:cs="Arial"/>
                <w:lang w:val="el-GR"/>
              </w:rPr>
              <w:t xml:space="preserve">2 &amp; </w:t>
            </w:r>
            <w:proofErr w:type="spellStart"/>
            <w:r>
              <w:rPr>
                <w:rFonts w:cs="Arial"/>
              </w:rPr>
              <w:t>Akt</w:t>
            </w:r>
            <w:proofErr w:type="spellEnd"/>
            <w:r w:rsidRPr="005963CA">
              <w:rPr>
                <w:rFonts w:cs="Arial"/>
                <w:lang w:val="el-GR"/>
              </w:rPr>
              <w:t xml:space="preserve">3 μόνο όταν είναι </w:t>
            </w:r>
            <w:proofErr w:type="spellStart"/>
            <w:r w:rsidRPr="005963CA">
              <w:rPr>
                <w:rFonts w:cs="Arial"/>
                <w:lang w:val="el-GR"/>
              </w:rPr>
              <w:t>φωσφορυλιωμένες</w:t>
            </w:r>
            <w:proofErr w:type="spellEnd"/>
            <w:r w:rsidRPr="005963CA">
              <w:rPr>
                <w:rFonts w:cs="Arial"/>
                <w:lang w:val="el-GR"/>
              </w:rPr>
              <w:t xml:space="preserve"> στις αντίστοιχες θέσεις. Να μην </w:t>
            </w:r>
            <w:proofErr w:type="spellStart"/>
            <w:r w:rsidRPr="005963CA">
              <w:rPr>
                <w:rFonts w:cs="Arial"/>
                <w:lang w:val="el-GR"/>
              </w:rPr>
              <w:t>αλληλεπιδρά</w:t>
            </w:r>
            <w:proofErr w:type="spellEnd"/>
            <w:r w:rsidRPr="005963CA">
              <w:rPr>
                <w:rFonts w:cs="Arial"/>
                <w:lang w:val="el-GR"/>
              </w:rPr>
              <w:t xml:space="preserve"> με άλλες </w:t>
            </w:r>
            <w:proofErr w:type="spellStart"/>
            <w:r w:rsidRPr="005963CA">
              <w:rPr>
                <w:rFonts w:cs="Arial"/>
                <w:lang w:val="el-GR"/>
              </w:rPr>
              <w:t>κινάσες</w:t>
            </w:r>
            <w:proofErr w:type="spellEnd"/>
            <w:r w:rsidRPr="005963CA">
              <w:rPr>
                <w:rFonts w:cs="Arial"/>
                <w:lang w:val="el-GR"/>
              </w:rPr>
              <w:t xml:space="preserve"> όπως η </w:t>
            </w:r>
            <w:r>
              <w:rPr>
                <w:rFonts w:cs="Arial"/>
              </w:rPr>
              <w:t>PKC</w:t>
            </w:r>
            <w:r w:rsidRPr="005963CA">
              <w:rPr>
                <w:rFonts w:cs="Arial"/>
                <w:lang w:val="el-GR"/>
              </w:rPr>
              <w:t xml:space="preserve"> ή η </w:t>
            </w:r>
            <w:r>
              <w:rPr>
                <w:rFonts w:cs="Arial"/>
              </w:rPr>
              <w:t>p</w:t>
            </w:r>
            <w:r w:rsidRPr="005963CA">
              <w:rPr>
                <w:rFonts w:cs="Arial"/>
                <w:lang w:val="el-GR"/>
              </w:rPr>
              <w:t xml:space="preserve">70 </w:t>
            </w:r>
            <w:r>
              <w:rPr>
                <w:rFonts w:cs="Arial"/>
              </w:rPr>
              <w:t>S</w:t>
            </w:r>
            <w:r w:rsidRPr="005963CA">
              <w:rPr>
                <w:rFonts w:cs="Arial"/>
                <w:lang w:val="el-GR"/>
              </w:rPr>
              <w:t xml:space="preserve">6 </w:t>
            </w:r>
            <w:r>
              <w:rPr>
                <w:rFonts w:cs="Arial"/>
              </w:rPr>
              <w:t>kinase</w:t>
            </w:r>
            <w:r w:rsidRPr="005963CA">
              <w:rPr>
                <w:rFonts w:cs="Arial"/>
                <w:lang w:val="el-GR"/>
              </w:rPr>
              <w:t xml:space="preserve">.  </w:t>
            </w:r>
            <w:r>
              <w:rPr>
                <w:rFonts w:cs="Arial"/>
              </w:rPr>
              <w:t>Να</w:t>
            </w:r>
            <w:r w:rsidRPr="00826FF5">
              <w:rPr>
                <w:rFonts w:cs="Arial"/>
                <w:lang w:val="en-US"/>
              </w:rPr>
              <w:t xml:space="preserve"> </w:t>
            </w:r>
            <w:proofErr w:type="spellStart"/>
            <w:r>
              <w:rPr>
                <w:rFonts w:cs="Arial"/>
              </w:rPr>
              <w:t>είν</w:t>
            </w:r>
            <w:proofErr w:type="spellEnd"/>
            <w:r>
              <w:rPr>
                <w:rFonts w:cs="Arial"/>
              </w:rPr>
              <w:t>αι</w:t>
            </w:r>
            <w:r w:rsidRPr="00826FF5">
              <w:rPr>
                <w:rFonts w:cs="Arial"/>
                <w:lang w:val="en-US"/>
              </w:rPr>
              <w:t xml:space="preserve"> </w:t>
            </w:r>
            <w:r>
              <w:rPr>
                <w:rFonts w:cs="Arial"/>
              </w:rPr>
              <w:t>κα</w:t>
            </w:r>
            <w:proofErr w:type="spellStart"/>
            <w:r>
              <w:rPr>
                <w:rFonts w:cs="Arial"/>
              </w:rPr>
              <w:t>τάλληλο</w:t>
            </w:r>
            <w:proofErr w:type="spellEnd"/>
            <w:r w:rsidRPr="00826FF5">
              <w:rPr>
                <w:rFonts w:cs="Arial"/>
                <w:lang w:val="en-US"/>
              </w:rPr>
              <w:t xml:space="preserve"> </w:t>
            </w:r>
            <w:proofErr w:type="spellStart"/>
            <w:r>
              <w:rPr>
                <w:rFonts w:cs="Arial"/>
              </w:rPr>
              <w:t>γι</w:t>
            </w:r>
            <w:proofErr w:type="spellEnd"/>
            <w:r>
              <w:rPr>
                <w:rFonts w:cs="Arial"/>
              </w:rPr>
              <w:t>α</w:t>
            </w:r>
            <w:r w:rsidRPr="00826FF5">
              <w:rPr>
                <w:rFonts w:cs="Arial"/>
                <w:lang w:val="en-US"/>
              </w:rPr>
              <w:t xml:space="preserve"> Human, Mouse, Rat, Hamster, D. melanogaster, Bovine, Dog, Pig.   </w:t>
            </w:r>
            <w:r w:rsidRPr="005963CA">
              <w:rPr>
                <w:rFonts w:cs="Arial"/>
                <w:lang w:val="el-GR"/>
              </w:rPr>
              <w:t xml:space="preserve">Να παρέχεται σε διάλυμα που περιέχει 10 </w:t>
            </w:r>
            <w:proofErr w:type="spellStart"/>
            <w:r>
              <w:rPr>
                <w:rFonts w:cs="Arial"/>
              </w:rPr>
              <w:t>mM</w:t>
            </w:r>
            <w:proofErr w:type="spellEnd"/>
            <w:r w:rsidRPr="005963CA">
              <w:rPr>
                <w:rFonts w:cs="Arial"/>
                <w:lang w:val="el-GR"/>
              </w:rPr>
              <w:t xml:space="preserve"> </w:t>
            </w:r>
            <w:r>
              <w:rPr>
                <w:rFonts w:cs="Arial"/>
              </w:rPr>
              <w:t>sodium</w:t>
            </w:r>
            <w:r w:rsidRPr="005963CA">
              <w:rPr>
                <w:rFonts w:cs="Arial"/>
                <w:lang w:val="el-GR"/>
              </w:rPr>
              <w:t xml:space="preserve"> </w:t>
            </w:r>
            <w:r>
              <w:rPr>
                <w:rFonts w:cs="Arial"/>
              </w:rPr>
              <w:t>HEPES</w:t>
            </w:r>
            <w:r w:rsidRPr="005963CA">
              <w:rPr>
                <w:rFonts w:cs="Arial"/>
                <w:lang w:val="el-GR"/>
              </w:rPr>
              <w:t xml:space="preserve"> (</w:t>
            </w:r>
            <w:r>
              <w:rPr>
                <w:rFonts w:cs="Arial"/>
              </w:rPr>
              <w:t>pH</w:t>
            </w:r>
            <w:r w:rsidRPr="005963CA">
              <w:rPr>
                <w:rFonts w:cs="Arial"/>
                <w:lang w:val="el-GR"/>
              </w:rPr>
              <w:t xml:space="preserve"> 7.5), 150 </w:t>
            </w:r>
            <w:proofErr w:type="spellStart"/>
            <w:r>
              <w:rPr>
                <w:rFonts w:cs="Arial"/>
              </w:rPr>
              <w:t>mM</w:t>
            </w:r>
            <w:proofErr w:type="spellEnd"/>
            <w:r w:rsidRPr="005963CA">
              <w:rPr>
                <w:rFonts w:cs="Arial"/>
                <w:lang w:val="el-GR"/>
              </w:rPr>
              <w:t xml:space="preserve"> </w:t>
            </w:r>
            <w:proofErr w:type="spellStart"/>
            <w:r>
              <w:rPr>
                <w:rFonts w:cs="Arial"/>
              </w:rPr>
              <w:t>NaCl</w:t>
            </w:r>
            <w:proofErr w:type="spellEnd"/>
            <w:r w:rsidRPr="005963CA">
              <w:rPr>
                <w:rFonts w:cs="Arial"/>
                <w:lang w:val="el-GR"/>
              </w:rPr>
              <w:t>, 100 µ</w:t>
            </w:r>
            <w:r>
              <w:rPr>
                <w:rFonts w:cs="Arial"/>
              </w:rPr>
              <w:t>g</w:t>
            </w:r>
            <w:r w:rsidRPr="005963CA">
              <w:rPr>
                <w:rFonts w:cs="Arial"/>
                <w:lang w:val="el-GR"/>
              </w:rPr>
              <w:t>/</w:t>
            </w:r>
            <w:r>
              <w:rPr>
                <w:rFonts w:cs="Arial"/>
              </w:rPr>
              <w:t>ml</w:t>
            </w:r>
            <w:r w:rsidRPr="005963CA">
              <w:rPr>
                <w:rFonts w:cs="Arial"/>
                <w:lang w:val="el-GR"/>
              </w:rPr>
              <w:t xml:space="preserve"> </w:t>
            </w:r>
            <w:r>
              <w:rPr>
                <w:rFonts w:cs="Arial"/>
              </w:rPr>
              <w:t>BSA</w:t>
            </w:r>
            <w:r w:rsidRPr="005963CA">
              <w:rPr>
                <w:rFonts w:cs="Arial"/>
                <w:lang w:val="el-GR"/>
              </w:rPr>
              <w:t xml:space="preserve"> και 50% </w:t>
            </w:r>
            <w:r>
              <w:rPr>
                <w:rFonts w:cs="Arial"/>
              </w:rPr>
              <w:t>glycerol</w:t>
            </w:r>
            <w:r w:rsidRPr="005963CA">
              <w:rPr>
                <w:rFonts w:cs="Arial"/>
                <w:lang w:val="el-GR"/>
              </w:rPr>
              <w:t xml:space="preserve">. </w:t>
            </w:r>
            <w:proofErr w:type="spellStart"/>
            <w:r>
              <w:rPr>
                <w:rFonts w:cs="Arial"/>
              </w:rPr>
              <w:t>Συσκευ</w:t>
            </w:r>
            <w:proofErr w:type="spellEnd"/>
            <w:r>
              <w:rPr>
                <w:rFonts w:cs="Arial"/>
              </w:rPr>
              <w:t xml:space="preserve">ασία 100 </w:t>
            </w:r>
            <w:proofErr w:type="spellStart"/>
            <w:r>
              <w:rPr>
                <w:rFonts w:cs="Arial"/>
              </w:rPr>
              <w:t>μl</w:t>
            </w:r>
            <w:proofErr w:type="spellEnd"/>
            <w:r>
              <w:rPr>
                <w:rFonts w:cs="Arial"/>
              </w:rPr>
              <w:t>.</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85"/>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33</w:t>
            </w:r>
          </w:p>
        </w:tc>
        <w:tc>
          <w:tcPr>
            <w:tcW w:w="5342" w:type="dxa"/>
            <w:shd w:val="clear" w:color="auto" w:fill="auto"/>
            <w:vAlign w:val="center"/>
            <w:hideMark/>
          </w:tcPr>
          <w:p w:rsidR="00E944C7" w:rsidRDefault="00E944C7" w:rsidP="00AE0313">
            <w:pPr>
              <w:rPr>
                <w:rFonts w:cs="Arial"/>
              </w:rPr>
            </w:pPr>
            <w:proofErr w:type="spellStart"/>
            <w:r w:rsidRPr="005963CA">
              <w:rPr>
                <w:rFonts w:cs="Arial"/>
                <w:lang w:val="el-GR"/>
              </w:rPr>
              <w:t>Μονοκλωνικό</w:t>
            </w:r>
            <w:proofErr w:type="spellEnd"/>
            <w:r w:rsidRPr="005963CA">
              <w:rPr>
                <w:rFonts w:cs="Arial"/>
                <w:lang w:val="el-GR"/>
              </w:rPr>
              <w:t xml:space="preserve"> αντίσωμα που έχει παραχθεί σε κουνέλι  έναντι της πράσινης φθορίζουσας πρωτεΐνης (</w:t>
            </w:r>
            <w:r>
              <w:rPr>
                <w:rFonts w:cs="Arial"/>
              </w:rPr>
              <w:t>GFP</w:t>
            </w:r>
            <w:r w:rsidRPr="005963CA">
              <w:rPr>
                <w:rFonts w:cs="Arial"/>
                <w:lang w:val="el-GR"/>
              </w:rPr>
              <w:t xml:space="preserve">). Να αναγνωρίζει  τις </w:t>
            </w:r>
            <w:r>
              <w:rPr>
                <w:rFonts w:cs="Arial"/>
              </w:rPr>
              <w:t>GFP</w:t>
            </w:r>
            <w:r w:rsidRPr="005963CA">
              <w:rPr>
                <w:rFonts w:cs="Arial"/>
                <w:lang w:val="el-GR"/>
              </w:rPr>
              <w:t xml:space="preserve">, </w:t>
            </w:r>
            <w:r>
              <w:rPr>
                <w:rFonts w:cs="Arial"/>
              </w:rPr>
              <w:t>YFP</w:t>
            </w:r>
            <w:r w:rsidRPr="005963CA">
              <w:rPr>
                <w:rFonts w:cs="Arial"/>
                <w:lang w:val="el-GR"/>
              </w:rPr>
              <w:t xml:space="preserve">  ή </w:t>
            </w:r>
            <w:r>
              <w:rPr>
                <w:rFonts w:cs="Arial"/>
              </w:rPr>
              <w:t>CFP</w:t>
            </w:r>
            <w:r w:rsidRPr="005963CA">
              <w:rPr>
                <w:rFonts w:cs="Arial"/>
                <w:lang w:val="el-GR"/>
              </w:rPr>
              <w:t>-</w:t>
            </w:r>
            <w:r>
              <w:rPr>
                <w:rFonts w:cs="Arial"/>
              </w:rPr>
              <w:t>tagged</w:t>
            </w:r>
            <w:r w:rsidRPr="005963CA">
              <w:rPr>
                <w:rFonts w:cs="Arial"/>
                <w:lang w:val="el-GR"/>
              </w:rPr>
              <w:t xml:space="preserve"> </w:t>
            </w:r>
            <w:r>
              <w:rPr>
                <w:rFonts w:cs="Arial"/>
              </w:rPr>
              <w:t>proteins</w:t>
            </w:r>
            <w:r w:rsidRPr="005963CA">
              <w:rPr>
                <w:rFonts w:cs="Arial"/>
                <w:lang w:val="el-GR"/>
              </w:rPr>
              <w:t xml:space="preserve"> που εκφράζονται εξωγενώς των κυττάρων αλλά να μην </w:t>
            </w:r>
            <w:proofErr w:type="spellStart"/>
            <w:r w:rsidRPr="005963CA">
              <w:rPr>
                <w:rFonts w:cs="Arial"/>
                <w:lang w:val="el-GR"/>
              </w:rPr>
              <w:t>αλληλεπιδρά</w:t>
            </w:r>
            <w:proofErr w:type="spellEnd"/>
            <w:r w:rsidRPr="005963CA">
              <w:rPr>
                <w:rFonts w:cs="Arial"/>
                <w:lang w:val="el-GR"/>
              </w:rPr>
              <w:t xml:space="preserve"> με τις </w:t>
            </w:r>
            <w:r>
              <w:rPr>
                <w:rFonts w:cs="Arial"/>
              </w:rPr>
              <w:t>RFP</w:t>
            </w:r>
            <w:r w:rsidRPr="005963CA">
              <w:rPr>
                <w:rFonts w:cs="Arial"/>
                <w:lang w:val="el-GR"/>
              </w:rPr>
              <w:t>-</w:t>
            </w:r>
            <w:r>
              <w:rPr>
                <w:rFonts w:cs="Arial"/>
              </w:rPr>
              <w:t>tagged</w:t>
            </w:r>
            <w:r w:rsidRPr="005963CA">
              <w:rPr>
                <w:rFonts w:cs="Arial"/>
                <w:lang w:val="el-GR"/>
              </w:rPr>
              <w:t xml:space="preserve"> </w:t>
            </w:r>
            <w:r>
              <w:rPr>
                <w:rFonts w:cs="Arial"/>
              </w:rPr>
              <w:t>proteins</w:t>
            </w:r>
            <w:r w:rsidRPr="005963CA">
              <w:rPr>
                <w:rFonts w:cs="Arial"/>
                <w:lang w:val="el-GR"/>
              </w:rPr>
              <w:t xml:space="preserve">. Ως </w:t>
            </w:r>
            <w:proofErr w:type="spellStart"/>
            <w:r w:rsidRPr="005963CA">
              <w:rPr>
                <w:rFonts w:cs="Arial"/>
                <w:lang w:val="el-GR"/>
              </w:rPr>
              <w:t>ανοσογόνο</w:t>
            </w:r>
            <w:proofErr w:type="spellEnd"/>
            <w:r w:rsidRPr="005963CA">
              <w:rPr>
                <w:rFonts w:cs="Arial"/>
                <w:lang w:val="el-GR"/>
              </w:rPr>
              <w:t xml:space="preserve"> να έχει χρησιμοποιηθεί ένα συνθετικό πεπτίδιο που αντιστοιχεί στο </w:t>
            </w:r>
            <w:proofErr w:type="spellStart"/>
            <w:r w:rsidRPr="005963CA">
              <w:rPr>
                <w:rFonts w:cs="Arial"/>
                <w:lang w:val="el-GR"/>
              </w:rPr>
              <w:t>αμινοτελικό</w:t>
            </w:r>
            <w:proofErr w:type="spellEnd"/>
            <w:r w:rsidRPr="005963CA">
              <w:rPr>
                <w:rFonts w:cs="Arial"/>
                <w:lang w:val="el-GR"/>
              </w:rPr>
              <w:t xml:space="preserve"> άκρο της </w:t>
            </w:r>
            <w:r>
              <w:rPr>
                <w:rFonts w:cs="Arial"/>
              </w:rPr>
              <w:t>GFP</w:t>
            </w:r>
            <w:r w:rsidRPr="005963CA">
              <w:rPr>
                <w:rFonts w:cs="Arial"/>
                <w:lang w:val="el-GR"/>
              </w:rPr>
              <w:t>. Πιστοποιημένο (</w:t>
            </w:r>
            <w:r>
              <w:rPr>
                <w:rFonts w:cs="Arial"/>
              </w:rPr>
              <w:t>validated</w:t>
            </w:r>
            <w:r w:rsidRPr="005963CA">
              <w:rPr>
                <w:rFonts w:cs="Arial"/>
                <w:lang w:val="el-GR"/>
              </w:rPr>
              <w:t xml:space="preserve">)  για χρήση στις τεχνικές </w:t>
            </w:r>
            <w:proofErr w:type="spellStart"/>
            <w:r w:rsidRPr="005963CA">
              <w:rPr>
                <w:rFonts w:cs="Arial"/>
                <w:lang w:val="el-GR"/>
              </w:rPr>
              <w:t>Ανοσοαποτύπωσης</w:t>
            </w:r>
            <w:proofErr w:type="spellEnd"/>
            <w:r w:rsidRPr="005963CA">
              <w:rPr>
                <w:rFonts w:cs="Arial"/>
                <w:lang w:val="el-GR"/>
              </w:rPr>
              <w:t xml:space="preserve"> (</w:t>
            </w:r>
            <w:r>
              <w:rPr>
                <w:rFonts w:cs="Arial"/>
              </w:rPr>
              <w:t>Western</w:t>
            </w:r>
            <w:r w:rsidRPr="005963CA">
              <w:rPr>
                <w:rFonts w:cs="Arial"/>
                <w:lang w:val="el-GR"/>
              </w:rPr>
              <w:t xml:space="preserve">),  </w:t>
            </w:r>
            <w:proofErr w:type="spellStart"/>
            <w:r w:rsidRPr="005963CA">
              <w:rPr>
                <w:rFonts w:cs="Arial"/>
                <w:lang w:val="el-GR"/>
              </w:rPr>
              <w:t>Ανοσοϊστοχημείας</w:t>
            </w:r>
            <w:proofErr w:type="spellEnd"/>
            <w:r w:rsidRPr="005963CA">
              <w:rPr>
                <w:rFonts w:cs="Arial"/>
                <w:lang w:val="el-GR"/>
              </w:rPr>
              <w:t xml:space="preserve"> (</w:t>
            </w:r>
            <w:r>
              <w:rPr>
                <w:rFonts w:cs="Arial"/>
              </w:rPr>
              <w:t>IHC</w:t>
            </w:r>
            <w:r w:rsidRPr="005963CA">
              <w:rPr>
                <w:rFonts w:cs="Arial"/>
                <w:lang w:val="el-GR"/>
              </w:rPr>
              <w:t>-</w:t>
            </w:r>
            <w:r>
              <w:rPr>
                <w:rFonts w:cs="Arial"/>
              </w:rPr>
              <w:t>Paraffin</w:t>
            </w:r>
            <w:r w:rsidRPr="005963CA">
              <w:rPr>
                <w:rFonts w:cs="Arial"/>
                <w:lang w:val="el-GR"/>
              </w:rPr>
              <w:t xml:space="preserve">) και </w:t>
            </w:r>
            <w:proofErr w:type="spellStart"/>
            <w:r w:rsidRPr="005963CA">
              <w:rPr>
                <w:rFonts w:cs="Arial"/>
                <w:lang w:val="el-GR"/>
              </w:rPr>
              <w:t>Ανοσοφθορισμού</w:t>
            </w:r>
            <w:proofErr w:type="spellEnd"/>
            <w:r w:rsidRPr="005963CA">
              <w:rPr>
                <w:rFonts w:cs="Arial"/>
                <w:lang w:val="el-GR"/>
              </w:rPr>
              <w:t xml:space="preserve"> (</w:t>
            </w:r>
            <w:r>
              <w:rPr>
                <w:rFonts w:cs="Arial"/>
              </w:rPr>
              <w:t>Immunocytochemistry</w:t>
            </w:r>
            <w:r w:rsidRPr="005963CA">
              <w:rPr>
                <w:rFonts w:cs="Arial"/>
                <w:lang w:val="el-GR"/>
              </w:rPr>
              <w:t xml:space="preserve">). Να παρέχεται σε διάλυμα που περιέχει  10 </w:t>
            </w:r>
            <w:proofErr w:type="spellStart"/>
            <w:r>
              <w:rPr>
                <w:rFonts w:cs="Arial"/>
              </w:rPr>
              <w:t>mM</w:t>
            </w:r>
            <w:proofErr w:type="spellEnd"/>
            <w:r w:rsidRPr="005963CA">
              <w:rPr>
                <w:rFonts w:cs="Arial"/>
                <w:lang w:val="el-GR"/>
              </w:rPr>
              <w:t xml:space="preserve"> </w:t>
            </w:r>
            <w:r>
              <w:rPr>
                <w:rFonts w:cs="Arial"/>
              </w:rPr>
              <w:t>sodium</w:t>
            </w:r>
            <w:r w:rsidRPr="005963CA">
              <w:rPr>
                <w:rFonts w:cs="Arial"/>
                <w:lang w:val="el-GR"/>
              </w:rPr>
              <w:t xml:space="preserve"> </w:t>
            </w:r>
            <w:r>
              <w:rPr>
                <w:rFonts w:cs="Arial"/>
              </w:rPr>
              <w:t>HEPES</w:t>
            </w:r>
            <w:r w:rsidRPr="005963CA">
              <w:rPr>
                <w:rFonts w:cs="Arial"/>
                <w:lang w:val="el-GR"/>
              </w:rPr>
              <w:t xml:space="preserve"> (</w:t>
            </w:r>
            <w:r>
              <w:rPr>
                <w:rFonts w:cs="Arial"/>
              </w:rPr>
              <w:t>pH</w:t>
            </w:r>
            <w:r w:rsidRPr="005963CA">
              <w:rPr>
                <w:rFonts w:cs="Arial"/>
                <w:lang w:val="el-GR"/>
              </w:rPr>
              <w:t xml:space="preserve"> 7.5), 150 </w:t>
            </w:r>
            <w:proofErr w:type="spellStart"/>
            <w:r>
              <w:rPr>
                <w:rFonts w:cs="Arial"/>
              </w:rPr>
              <w:t>mM</w:t>
            </w:r>
            <w:proofErr w:type="spellEnd"/>
            <w:r w:rsidRPr="005963CA">
              <w:rPr>
                <w:rFonts w:cs="Arial"/>
                <w:lang w:val="el-GR"/>
              </w:rPr>
              <w:t xml:space="preserve"> </w:t>
            </w:r>
            <w:proofErr w:type="spellStart"/>
            <w:r>
              <w:rPr>
                <w:rFonts w:cs="Arial"/>
              </w:rPr>
              <w:t>NaCl</w:t>
            </w:r>
            <w:proofErr w:type="spellEnd"/>
            <w:r w:rsidRPr="005963CA">
              <w:rPr>
                <w:rFonts w:cs="Arial"/>
                <w:lang w:val="el-GR"/>
              </w:rPr>
              <w:t>, 100 µ</w:t>
            </w:r>
            <w:r>
              <w:rPr>
                <w:rFonts w:cs="Arial"/>
              </w:rPr>
              <w:t>g</w:t>
            </w:r>
            <w:r w:rsidRPr="005963CA">
              <w:rPr>
                <w:rFonts w:cs="Arial"/>
                <w:lang w:val="el-GR"/>
              </w:rPr>
              <w:t>/</w:t>
            </w:r>
            <w:r>
              <w:rPr>
                <w:rFonts w:cs="Arial"/>
              </w:rPr>
              <w:t>ml</w:t>
            </w:r>
            <w:r w:rsidRPr="005963CA">
              <w:rPr>
                <w:rFonts w:cs="Arial"/>
                <w:lang w:val="el-GR"/>
              </w:rPr>
              <w:t xml:space="preserve"> </w:t>
            </w:r>
            <w:r>
              <w:rPr>
                <w:rFonts w:cs="Arial"/>
              </w:rPr>
              <w:t>BSA</w:t>
            </w:r>
            <w:r w:rsidRPr="005963CA">
              <w:rPr>
                <w:rFonts w:cs="Arial"/>
                <w:lang w:val="el-GR"/>
              </w:rPr>
              <w:t xml:space="preserve">, 50% </w:t>
            </w:r>
            <w:r>
              <w:rPr>
                <w:rFonts w:cs="Arial"/>
              </w:rPr>
              <w:t>glycerol</w:t>
            </w:r>
            <w:r w:rsidRPr="005963CA">
              <w:rPr>
                <w:rFonts w:cs="Arial"/>
                <w:lang w:val="el-GR"/>
              </w:rPr>
              <w:t xml:space="preserve"> και  &lt;0.02% </w:t>
            </w:r>
            <w:proofErr w:type="spellStart"/>
            <w:r w:rsidRPr="005963CA">
              <w:rPr>
                <w:rFonts w:cs="Arial"/>
                <w:lang w:val="el-GR"/>
              </w:rPr>
              <w:t>νατραζίδιο</w:t>
            </w:r>
            <w:proofErr w:type="spellEnd"/>
            <w:r w:rsidRPr="005963CA">
              <w:rPr>
                <w:rFonts w:cs="Arial"/>
                <w:lang w:val="el-GR"/>
              </w:rPr>
              <w:t xml:space="preserve">. </w:t>
            </w:r>
            <w:proofErr w:type="spellStart"/>
            <w:r>
              <w:rPr>
                <w:rFonts w:cs="Arial"/>
              </w:rPr>
              <w:t>Συσκευ</w:t>
            </w:r>
            <w:proofErr w:type="spellEnd"/>
            <w:r>
              <w:rPr>
                <w:rFonts w:cs="Arial"/>
              </w:rPr>
              <w:t xml:space="preserve">ασία 100 </w:t>
            </w:r>
            <w:proofErr w:type="spellStart"/>
            <w:r>
              <w:rPr>
                <w:rFonts w:cs="Arial"/>
              </w:rPr>
              <w:t>μl</w:t>
            </w:r>
            <w:proofErr w:type="spellEnd"/>
            <w:r>
              <w:rPr>
                <w:rFonts w:cs="Arial"/>
              </w:rPr>
              <w:t>.</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60"/>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34</w:t>
            </w:r>
          </w:p>
        </w:tc>
        <w:tc>
          <w:tcPr>
            <w:tcW w:w="5342" w:type="dxa"/>
            <w:shd w:val="clear" w:color="auto" w:fill="auto"/>
            <w:vAlign w:val="center"/>
            <w:hideMark/>
          </w:tcPr>
          <w:p w:rsidR="00E944C7" w:rsidRDefault="00E944C7" w:rsidP="00AE0313">
            <w:pPr>
              <w:rPr>
                <w:rFonts w:cs="Arial"/>
              </w:rPr>
            </w:pPr>
            <w:proofErr w:type="spellStart"/>
            <w:r w:rsidRPr="005963CA">
              <w:rPr>
                <w:rFonts w:cs="Arial"/>
                <w:lang w:val="el-GR"/>
              </w:rPr>
              <w:t>Μονοκλωνικό</w:t>
            </w:r>
            <w:proofErr w:type="spellEnd"/>
            <w:r w:rsidRPr="005963CA">
              <w:rPr>
                <w:rFonts w:cs="Arial"/>
                <w:lang w:val="el-GR"/>
              </w:rPr>
              <w:t xml:space="preserve"> αντίσωμα που έχει παραχθεί σε κουνέλι  έναντι της </w:t>
            </w:r>
            <w:r>
              <w:rPr>
                <w:rFonts w:cs="Arial"/>
              </w:rPr>
              <w:t>Tau</w:t>
            </w:r>
            <w:r w:rsidRPr="005963CA">
              <w:rPr>
                <w:rFonts w:cs="Arial"/>
                <w:lang w:val="el-GR"/>
              </w:rPr>
              <w:t xml:space="preserve">. Να ανιχνεύει τα ενδογενή επίπεδα της </w:t>
            </w:r>
            <w:r>
              <w:rPr>
                <w:rFonts w:cs="Arial"/>
              </w:rPr>
              <w:t>Total</w:t>
            </w:r>
            <w:r w:rsidRPr="005963CA">
              <w:rPr>
                <w:rFonts w:cs="Arial"/>
                <w:lang w:val="el-GR"/>
              </w:rPr>
              <w:t xml:space="preserve"> </w:t>
            </w:r>
            <w:r>
              <w:rPr>
                <w:rFonts w:cs="Arial"/>
              </w:rPr>
              <w:t>Tau</w:t>
            </w:r>
            <w:r w:rsidRPr="005963CA">
              <w:rPr>
                <w:rFonts w:cs="Arial"/>
                <w:lang w:val="el-GR"/>
              </w:rPr>
              <w:t xml:space="preserve">  </w:t>
            </w:r>
            <w:proofErr w:type="spellStart"/>
            <w:r w:rsidRPr="005963CA">
              <w:rPr>
                <w:rFonts w:cs="Arial"/>
                <w:lang w:val="el-GR"/>
              </w:rPr>
              <w:t>πρωτεϊνης</w:t>
            </w:r>
            <w:proofErr w:type="spellEnd"/>
            <w:r w:rsidRPr="005963CA">
              <w:rPr>
                <w:rFonts w:cs="Arial"/>
                <w:lang w:val="el-GR"/>
              </w:rPr>
              <w:t xml:space="preserve"> και να αναγνωρίζει τους αντίστοιχους </w:t>
            </w:r>
            <w:proofErr w:type="spellStart"/>
            <w:r w:rsidRPr="005963CA">
              <w:rPr>
                <w:rFonts w:cs="Arial"/>
                <w:lang w:val="el-GR"/>
              </w:rPr>
              <w:t>αντιγονικούς</w:t>
            </w:r>
            <w:proofErr w:type="spellEnd"/>
            <w:r w:rsidRPr="005963CA">
              <w:rPr>
                <w:rFonts w:cs="Arial"/>
                <w:lang w:val="el-GR"/>
              </w:rPr>
              <w:t xml:space="preserve"> </w:t>
            </w:r>
            <w:proofErr w:type="spellStart"/>
            <w:r w:rsidRPr="005963CA">
              <w:rPr>
                <w:rFonts w:cs="Arial"/>
                <w:lang w:val="el-GR"/>
              </w:rPr>
              <w:t>επιτόπους</w:t>
            </w:r>
            <w:proofErr w:type="spellEnd"/>
            <w:r w:rsidRPr="005963CA">
              <w:rPr>
                <w:rFonts w:cs="Arial"/>
                <w:lang w:val="el-GR"/>
              </w:rPr>
              <w:t xml:space="preserve"> του ανθρώπου, ποντικού, αρουραίου.  Ως </w:t>
            </w:r>
            <w:proofErr w:type="spellStart"/>
            <w:r w:rsidRPr="005963CA">
              <w:rPr>
                <w:rFonts w:cs="Arial"/>
                <w:lang w:val="el-GR"/>
              </w:rPr>
              <w:t>ανοσογόνο</w:t>
            </w:r>
            <w:proofErr w:type="spellEnd"/>
            <w:r w:rsidRPr="005963CA">
              <w:rPr>
                <w:rFonts w:cs="Arial"/>
                <w:lang w:val="el-GR"/>
              </w:rPr>
              <w:t xml:space="preserve"> να έχει χρησιμοποιηθεί ένα συνθετικό πεπτίδιο που αντιστοιχεί στα </w:t>
            </w:r>
            <w:proofErr w:type="spellStart"/>
            <w:r w:rsidRPr="005963CA">
              <w:rPr>
                <w:rFonts w:cs="Arial"/>
                <w:lang w:val="el-GR"/>
              </w:rPr>
              <w:t>αμινοξικά</w:t>
            </w:r>
            <w:proofErr w:type="spellEnd"/>
            <w:r w:rsidRPr="005963CA">
              <w:rPr>
                <w:rFonts w:cs="Arial"/>
                <w:lang w:val="el-GR"/>
              </w:rPr>
              <w:t xml:space="preserve"> κατάλοιπα που περιβάλλουν το </w:t>
            </w:r>
            <w:r>
              <w:rPr>
                <w:rFonts w:cs="Arial"/>
              </w:rPr>
              <w:t>Asp</w:t>
            </w:r>
            <w:r w:rsidRPr="005963CA">
              <w:rPr>
                <w:rFonts w:cs="Arial"/>
                <w:lang w:val="el-GR"/>
              </w:rPr>
              <w:t xml:space="preserve">430 της </w:t>
            </w:r>
            <w:r>
              <w:rPr>
                <w:rFonts w:cs="Arial"/>
              </w:rPr>
              <w:t>TAU</w:t>
            </w:r>
            <w:r w:rsidRPr="005963CA">
              <w:rPr>
                <w:rFonts w:cs="Arial"/>
                <w:lang w:val="el-GR"/>
              </w:rPr>
              <w:t xml:space="preserve"> </w:t>
            </w:r>
            <w:proofErr w:type="spellStart"/>
            <w:r w:rsidRPr="005963CA">
              <w:rPr>
                <w:rFonts w:cs="Arial"/>
                <w:lang w:val="el-GR"/>
              </w:rPr>
              <w:t>πρωτεϊνης</w:t>
            </w:r>
            <w:proofErr w:type="spellEnd"/>
            <w:r w:rsidRPr="005963CA">
              <w:rPr>
                <w:rFonts w:cs="Arial"/>
                <w:lang w:val="el-GR"/>
              </w:rPr>
              <w:t xml:space="preserve"> του ανθρώπου.  Να είναι πιστοποιημένο (</w:t>
            </w:r>
            <w:r>
              <w:rPr>
                <w:rFonts w:cs="Arial"/>
              </w:rPr>
              <w:t>validated</w:t>
            </w:r>
            <w:r w:rsidRPr="005963CA">
              <w:rPr>
                <w:rFonts w:cs="Arial"/>
                <w:lang w:val="el-GR"/>
              </w:rPr>
              <w:t xml:space="preserve">)  για χρήση στις τεχνικές </w:t>
            </w:r>
            <w:proofErr w:type="spellStart"/>
            <w:r w:rsidRPr="005963CA">
              <w:rPr>
                <w:rFonts w:cs="Arial"/>
                <w:lang w:val="el-GR"/>
              </w:rPr>
              <w:t>Ανοσοαποτύπωσης</w:t>
            </w:r>
            <w:proofErr w:type="spellEnd"/>
            <w:r w:rsidRPr="005963CA">
              <w:rPr>
                <w:rFonts w:cs="Arial"/>
                <w:lang w:val="el-GR"/>
              </w:rPr>
              <w:t xml:space="preserve"> (</w:t>
            </w:r>
            <w:r>
              <w:rPr>
                <w:rFonts w:cs="Arial"/>
              </w:rPr>
              <w:t>Western</w:t>
            </w:r>
            <w:r w:rsidRPr="005963CA">
              <w:rPr>
                <w:rFonts w:cs="Arial"/>
                <w:lang w:val="el-GR"/>
              </w:rPr>
              <w:t xml:space="preserve">),  </w:t>
            </w:r>
            <w:proofErr w:type="spellStart"/>
            <w:r w:rsidRPr="005963CA">
              <w:rPr>
                <w:rFonts w:cs="Arial"/>
                <w:lang w:val="el-GR"/>
              </w:rPr>
              <w:t>Ανοσοϊστοχημείας</w:t>
            </w:r>
            <w:proofErr w:type="spellEnd"/>
            <w:r w:rsidRPr="005963CA">
              <w:rPr>
                <w:rFonts w:cs="Arial"/>
                <w:lang w:val="el-GR"/>
              </w:rPr>
              <w:t xml:space="preserve"> (</w:t>
            </w:r>
            <w:r>
              <w:rPr>
                <w:rFonts w:cs="Arial"/>
              </w:rPr>
              <w:t>IHC</w:t>
            </w:r>
            <w:r w:rsidRPr="005963CA">
              <w:rPr>
                <w:rFonts w:cs="Arial"/>
                <w:lang w:val="el-GR"/>
              </w:rPr>
              <w:t>-</w:t>
            </w:r>
            <w:r>
              <w:rPr>
                <w:rFonts w:cs="Arial"/>
              </w:rPr>
              <w:t>Paraffin</w:t>
            </w:r>
            <w:r w:rsidRPr="005963CA">
              <w:rPr>
                <w:rFonts w:cs="Arial"/>
                <w:lang w:val="el-GR"/>
              </w:rPr>
              <w:t xml:space="preserve"> &amp; </w:t>
            </w:r>
            <w:r>
              <w:rPr>
                <w:rFonts w:cs="Arial"/>
              </w:rPr>
              <w:t>IHC</w:t>
            </w:r>
            <w:r w:rsidRPr="005963CA">
              <w:rPr>
                <w:rFonts w:cs="Arial"/>
                <w:lang w:val="el-GR"/>
              </w:rPr>
              <w:t>_</w:t>
            </w:r>
            <w:r>
              <w:rPr>
                <w:rFonts w:cs="Arial"/>
              </w:rPr>
              <w:t>Frozen</w:t>
            </w:r>
            <w:r w:rsidRPr="005963CA">
              <w:rPr>
                <w:rFonts w:cs="Arial"/>
                <w:lang w:val="el-GR"/>
              </w:rPr>
              <w:t xml:space="preserve">) και </w:t>
            </w:r>
            <w:proofErr w:type="spellStart"/>
            <w:r w:rsidRPr="005963CA">
              <w:rPr>
                <w:rFonts w:cs="Arial"/>
                <w:lang w:val="el-GR"/>
              </w:rPr>
              <w:t>Ανοσοφθορισμού</w:t>
            </w:r>
            <w:proofErr w:type="spellEnd"/>
            <w:r w:rsidRPr="005963CA">
              <w:rPr>
                <w:rFonts w:cs="Arial"/>
                <w:lang w:val="el-GR"/>
              </w:rPr>
              <w:t xml:space="preserve"> (</w:t>
            </w:r>
            <w:r>
              <w:rPr>
                <w:rFonts w:cs="Arial"/>
              </w:rPr>
              <w:t>Immunocytochemistry</w:t>
            </w:r>
            <w:r w:rsidRPr="005963CA">
              <w:rPr>
                <w:rFonts w:cs="Arial"/>
                <w:lang w:val="el-GR"/>
              </w:rPr>
              <w:t xml:space="preserve">). Να παρέχεται σε διάλυμα που περιέχει  10 </w:t>
            </w:r>
            <w:proofErr w:type="spellStart"/>
            <w:r>
              <w:rPr>
                <w:rFonts w:cs="Arial"/>
              </w:rPr>
              <w:t>mM</w:t>
            </w:r>
            <w:proofErr w:type="spellEnd"/>
            <w:r w:rsidRPr="005963CA">
              <w:rPr>
                <w:rFonts w:cs="Arial"/>
                <w:lang w:val="el-GR"/>
              </w:rPr>
              <w:t xml:space="preserve"> </w:t>
            </w:r>
            <w:r>
              <w:rPr>
                <w:rFonts w:cs="Arial"/>
              </w:rPr>
              <w:t>sodium</w:t>
            </w:r>
            <w:r w:rsidRPr="005963CA">
              <w:rPr>
                <w:rFonts w:cs="Arial"/>
                <w:lang w:val="el-GR"/>
              </w:rPr>
              <w:t xml:space="preserve"> </w:t>
            </w:r>
            <w:r>
              <w:rPr>
                <w:rFonts w:cs="Arial"/>
              </w:rPr>
              <w:t>HEPES</w:t>
            </w:r>
            <w:r w:rsidRPr="005963CA">
              <w:rPr>
                <w:rFonts w:cs="Arial"/>
                <w:lang w:val="el-GR"/>
              </w:rPr>
              <w:t xml:space="preserve"> (</w:t>
            </w:r>
            <w:r>
              <w:rPr>
                <w:rFonts w:cs="Arial"/>
              </w:rPr>
              <w:t>pH</w:t>
            </w:r>
            <w:r w:rsidRPr="005963CA">
              <w:rPr>
                <w:rFonts w:cs="Arial"/>
                <w:lang w:val="el-GR"/>
              </w:rPr>
              <w:t xml:space="preserve"> 7.5), 150 </w:t>
            </w:r>
            <w:proofErr w:type="spellStart"/>
            <w:r>
              <w:rPr>
                <w:rFonts w:cs="Arial"/>
              </w:rPr>
              <w:t>mM</w:t>
            </w:r>
            <w:proofErr w:type="spellEnd"/>
            <w:r w:rsidRPr="005963CA">
              <w:rPr>
                <w:rFonts w:cs="Arial"/>
                <w:lang w:val="el-GR"/>
              </w:rPr>
              <w:t xml:space="preserve"> </w:t>
            </w:r>
            <w:proofErr w:type="spellStart"/>
            <w:r>
              <w:rPr>
                <w:rFonts w:cs="Arial"/>
              </w:rPr>
              <w:t>NaCl</w:t>
            </w:r>
            <w:proofErr w:type="spellEnd"/>
            <w:r w:rsidRPr="005963CA">
              <w:rPr>
                <w:rFonts w:cs="Arial"/>
                <w:lang w:val="el-GR"/>
              </w:rPr>
              <w:t>, 100 µ</w:t>
            </w:r>
            <w:r>
              <w:rPr>
                <w:rFonts w:cs="Arial"/>
              </w:rPr>
              <w:t>g</w:t>
            </w:r>
            <w:r w:rsidRPr="005963CA">
              <w:rPr>
                <w:rFonts w:cs="Arial"/>
                <w:lang w:val="el-GR"/>
              </w:rPr>
              <w:t>/</w:t>
            </w:r>
            <w:r>
              <w:rPr>
                <w:rFonts w:cs="Arial"/>
              </w:rPr>
              <w:t>ml</w:t>
            </w:r>
            <w:r w:rsidRPr="005963CA">
              <w:rPr>
                <w:rFonts w:cs="Arial"/>
                <w:lang w:val="el-GR"/>
              </w:rPr>
              <w:t xml:space="preserve"> </w:t>
            </w:r>
            <w:r>
              <w:rPr>
                <w:rFonts w:cs="Arial"/>
              </w:rPr>
              <w:t>BSA</w:t>
            </w:r>
            <w:r w:rsidRPr="005963CA">
              <w:rPr>
                <w:rFonts w:cs="Arial"/>
                <w:lang w:val="el-GR"/>
              </w:rPr>
              <w:t xml:space="preserve">, 50% </w:t>
            </w:r>
            <w:r>
              <w:rPr>
                <w:rFonts w:cs="Arial"/>
              </w:rPr>
              <w:t>glycerol</w:t>
            </w:r>
            <w:r w:rsidRPr="005963CA">
              <w:rPr>
                <w:rFonts w:cs="Arial"/>
                <w:lang w:val="el-GR"/>
              </w:rPr>
              <w:t xml:space="preserve"> και  &lt;0.02% </w:t>
            </w:r>
            <w:proofErr w:type="spellStart"/>
            <w:r w:rsidRPr="005963CA">
              <w:rPr>
                <w:rFonts w:cs="Arial"/>
                <w:lang w:val="el-GR"/>
              </w:rPr>
              <w:t>νατραζίδιο</w:t>
            </w:r>
            <w:proofErr w:type="spellEnd"/>
            <w:r w:rsidRPr="005963CA">
              <w:rPr>
                <w:rFonts w:cs="Arial"/>
                <w:lang w:val="el-GR"/>
              </w:rPr>
              <w:t xml:space="preserve">. </w:t>
            </w:r>
            <w:proofErr w:type="spellStart"/>
            <w:r>
              <w:rPr>
                <w:rFonts w:cs="Arial"/>
              </w:rPr>
              <w:t>Συσκευ</w:t>
            </w:r>
            <w:proofErr w:type="spellEnd"/>
            <w:r>
              <w:rPr>
                <w:rFonts w:cs="Arial"/>
              </w:rPr>
              <w:t xml:space="preserve">ασία 100 </w:t>
            </w:r>
            <w:proofErr w:type="spellStart"/>
            <w:r>
              <w:rPr>
                <w:rFonts w:cs="Arial"/>
              </w:rPr>
              <w:t>μl</w:t>
            </w:r>
            <w:proofErr w:type="spellEnd"/>
            <w:r>
              <w:rPr>
                <w:rFonts w:cs="Arial"/>
              </w:rPr>
              <w:t>.</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1800"/>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lastRenderedPageBreak/>
              <w:t>35</w:t>
            </w:r>
          </w:p>
        </w:tc>
        <w:tc>
          <w:tcPr>
            <w:tcW w:w="5342" w:type="dxa"/>
            <w:shd w:val="clear" w:color="auto" w:fill="auto"/>
            <w:vAlign w:val="center"/>
            <w:hideMark/>
          </w:tcPr>
          <w:p w:rsidR="00E944C7" w:rsidRDefault="00E944C7" w:rsidP="00AE0313">
            <w:pPr>
              <w:rPr>
                <w:rFonts w:cs="Arial"/>
              </w:rPr>
            </w:pPr>
            <w:proofErr w:type="spellStart"/>
            <w:r w:rsidRPr="005963CA">
              <w:rPr>
                <w:rFonts w:cs="Arial"/>
                <w:lang w:val="el-GR"/>
              </w:rPr>
              <w:t>Μονοκλωνικό</w:t>
            </w:r>
            <w:proofErr w:type="spellEnd"/>
            <w:r w:rsidRPr="005963CA">
              <w:rPr>
                <w:rFonts w:cs="Arial"/>
                <w:lang w:val="el-GR"/>
              </w:rPr>
              <w:t xml:space="preserve"> αντίσωμα που έχει παραχθεί σε κουνέλι ειδικό για την </w:t>
            </w:r>
            <w:r>
              <w:rPr>
                <w:rFonts w:cs="Arial"/>
              </w:rPr>
              <w:t>S</w:t>
            </w:r>
            <w:r w:rsidRPr="005963CA">
              <w:rPr>
                <w:rFonts w:cs="Arial"/>
                <w:lang w:val="el-GR"/>
              </w:rPr>
              <w:t xml:space="preserve">6 </w:t>
            </w:r>
            <w:r>
              <w:rPr>
                <w:rFonts w:cs="Arial"/>
              </w:rPr>
              <w:t>Ribosomal</w:t>
            </w:r>
            <w:r w:rsidRPr="005963CA">
              <w:rPr>
                <w:rFonts w:cs="Arial"/>
                <w:lang w:val="el-GR"/>
              </w:rPr>
              <w:t xml:space="preserve"> </w:t>
            </w:r>
            <w:r>
              <w:rPr>
                <w:rFonts w:cs="Arial"/>
              </w:rPr>
              <w:t>Protein</w:t>
            </w:r>
            <w:r w:rsidRPr="005963CA">
              <w:rPr>
                <w:rFonts w:cs="Arial"/>
                <w:lang w:val="el-GR"/>
              </w:rPr>
              <w:t>, πιστοποιημένο (</w:t>
            </w:r>
            <w:r>
              <w:rPr>
                <w:rFonts w:cs="Arial"/>
              </w:rPr>
              <w:t>validated</w:t>
            </w:r>
            <w:r w:rsidRPr="005963CA">
              <w:rPr>
                <w:rFonts w:cs="Arial"/>
                <w:lang w:val="el-GR"/>
              </w:rPr>
              <w:t xml:space="preserve">) για χρήση στις τεχνικές </w:t>
            </w:r>
            <w:proofErr w:type="spellStart"/>
            <w:r w:rsidRPr="005963CA">
              <w:rPr>
                <w:rFonts w:cs="Arial"/>
                <w:lang w:val="el-GR"/>
              </w:rPr>
              <w:t>Ανοσοαποτύπωσης</w:t>
            </w:r>
            <w:proofErr w:type="spellEnd"/>
            <w:r w:rsidRPr="005963CA">
              <w:rPr>
                <w:rFonts w:cs="Arial"/>
                <w:lang w:val="el-GR"/>
              </w:rPr>
              <w:t xml:space="preserve"> (</w:t>
            </w:r>
            <w:r>
              <w:rPr>
                <w:rFonts w:cs="Arial"/>
              </w:rPr>
              <w:t>Western</w:t>
            </w:r>
            <w:r w:rsidRPr="005963CA">
              <w:rPr>
                <w:rFonts w:cs="Arial"/>
                <w:lang w:val="el-GR"/>
              </w:rPr>
              <w:t xml:space="preserve">) , </w:t>
            </w:r>
            <w:proofErr w:type="spellStart"/>
            <w:r w:rsidRPr="005963CA">
              <w:rPr>
                <w:rFonts w:cs="Arial"/>
                <w:lang w:val="el-GR"/>
              </w:rPr>
              <w:t>ανοσοϊστοχημίας</w:t>
            </w:r>
            <w:proofErr w:type="spellEnd"/>
            <w:r w:rsidRPr="005963CA">
              <w:rPr>
                <w:rFonts w:cs="Arial"/>
                <w:lang w:val="el-GR"/>
              </w:rPr>
              <w:t xml:space="preserve"> (</w:t>
            </w:r>
            <w:r>
              <w:rPr>
                <w:rFonts w:cs="Arial"/>
              </w:rPr>
              <w:t>IHC</w:t>
            </w:r>
            <w:r w:rsidRPr="005963CA">
              <w:rPr>
                <w:rFonts w:cs="Arial"/>
                <w:lang w:val="el-GR"/>
              </w:rPr>
              <w:t xml:space="preserve">) και </w:t>
            </w:r>
            <w:proofErr w:type="spellStart"/>
            <w:r w:rsidRPr="005963CA">
              <w:rPr>
                <w:rFonts w:cs="Arial"/>
                <w:lang w:val="el-GR"/>
              </w:rPr>
              <w:t>ανοσοφθορισμού</w:t>
            </w:r>
            <w:proofErr w:type="spellEnd"/>
            <w:r w:rsidRPr="005963CA">
              <w:rPr>
                <w:rFonts w:cs="Arial"/>
                <w:lang w:val="el-GR"/>
              </w:rPr>
              <w:t xml:space="preserve"> (</w:t>
            </w:r>
            <w:r>
              <w:rPr>
                <w:rFonts w:cs="Arial"/>
              </w:rPr>
              <w:t>IF</w:t>
            </w:r>
            <w:r w:rsidRPr="005963CA">
              <w:rPr>
                <w:rFonts w:cs="Arial"/>
                <w:lang w:val="el-GR"/>
              </w:rPr>
              <w:t xml:space="preserve">). Να ανιχνεύει τα ενδογενή επίπεδα της </w:t>
            </w:r>
            <w:r>
              <w:rPr>
                <w:rFonts w:cs="Arial"/>
              </w:rPr>
              <w:t>S</w:t>
            </w:r>
            <w:r w:rsidRPr="005963CA">
              <w:rPr>
                <w:rFonts w:cs="Arial"/>
                <w:lang w:val="el-GR"/>
              </w:rPr>
              <w:t xml:space="preserve">6 </w:t>
            </w:r>
            <w:r>
              <w:rPr>
                <w:rFonts w:cs="Arial"/>
              </w:rPr>
              <w:t>Ribosomal</w:t>
            </w:r>
            <w:r w:rsidRPr="005963CA">
              <w:rPr>
                <w:rFonts w:cs="Arial"/>
                <w:lang w:val="el-GR"/>
              </w:rPr>
              <w:t xml:space="preserve"> </w:t>
            </w:r>
            <w:r>
              <w:rPr>
                <w:rFonts w:cs="Arial"/>
              </w:rPr>
              <w:t>Protein</w:t>
            </w:r>
            <w:r w:rsidRPr="005963CA">
              <w:rPr>
                <w:rFonts w:cs="Arial"/>
                <w:lang w:val="el-GR"/>
              </w:rPr>
              <w:t xml:space="preserve"> (</w:t>
            </w:r>
            <w:r>
              <w:rPr>
                <w:rFonts w:cs="Arial"/>
              </w:rPr>
              <w:t>MW</w:t>
            </w:r>
            <w:r w:rsidRPr="005963CA">
              <w:rPr>
                <w:rFonts w:cs="Arial"/>
                <w:lang w:val="el-GR"/>
              </w:rPr>
              <w:t xml:space="preserve"> 32</w:t>
            </w:r>
            <w:proofErr w:type="spellStart"/>
            <w:r>
              <w:rPr>
                <w:rFonts w:cs="Arial"/>
              </w:rPr>
              <w:t>kDa</w:t>
            </w:r>
            <w:proofErr w:type="spellEnd"/>
            <w:r w:rsidRPr="005963CA">
              <w:rPr>
                <w:rFonts w:cs="Arial"/>
                <w:lang w:val="el-GR"/>
              </w:rPr>
              <w:t xml:space="preserve">). Να είναι κατάλληλο για χρήση σε δείγματα ανθρώπου, ποντικού, αρουραίου, πιθήκου. Να παρέχεται σε διάλυμα που περιέχει 10 </w:t>
            </w:r>
            <w:proofErr w:type="spellStart"/>
            <w:r>
              <w:rPr>
                <w:rFonts w:cs="Arial"/>
              </w:rPr>
              <w:t>mM</w:t>
            </w:r>
            <w:proofErr w:type="spellEnd"/>
            <w:r w:rsidRPr="005963CA">
              <w:rPr>
                <w:rFonts w:cs="Arial"/>
                <w:lang w:val="el-GR"/>
              </w:rPr>
              <w:t xml:space="preserve"> </w:t>
            </w:r>
            <w:r>
              <w:rPr>
                <w:rFonts w:cs="Arial"/>
              </w:rPr>
              <w:t>sodium</w:t>
            </w:r>
            <w:r w:rsidRPr="005963CA">
              <w:rPr>
                <w:rFonts w:cs="Arial"/>
                <w:lang w:val="el-GR"/>
              </w:rPr>
              <w:t xml:space="preserve"> </w:t>
            </w:r>
            <w:r>
              <w:rPr>
                <w:rFonts w:cs="Arial"/>
              </w:rPr>
              <w:t>HEPES</w:t>
            </w:r>
            <w:r w:rsidRPr="005963CA">
              <w:rPr>
                <w:rFonts w:cs="Arial"/>
                <w:lang w:val="el-GR"/>
              </w:rPr>
              <w:t xml:space="preserve"> (</w:t>
            </w:r>
            <w:r>
              <w:rPr>
                <w:rFonts w:cs="Arial"/>
              </w:rPr>
              <w:t>pH</w:t>
            </w:r>
            <w:r w:rsidRPr="005963CA">
              <w:rPr>
                <w:rFonts w:cs="Arial"/>
                <w:lang w:val="el-GR"/>
              </w:rPr>
              <w:t xml:space="preserve"> 7.5), 150 </w:t>
            </w:r>
            <w:proofErr w:type="spellStart"/>
            <w:r>
              <w:rPr>
                <w:rFonts w:cs="Arial"/>
              </w:rPr>
              <w:t>mM</w:t>
            </w:r>
            <w:proofErr w:type="spellEnd"/>
            <w:r w:rsidRPr="005963CA">
              <w:rPr>
                <w:rFonts w:cs="Arial"/>
                <w:lang w:val="el-GR"/>
              </w:rPr>
              <w:t xml:space="preserve"> </w:t>
            </w:r>
            <w:proofErr w:type="spellStart"/>
            <w:r>
              <w:rPr>
                <w:rFonts w:cs="Arial"/>
              </w:rPr>
              <w:t>NaCl</w:t>
            </w:r>
            <w:proofErr w:type="spellEnd"/>
            <w:r w:rsidRPr="005963CA">
              <w:rPr>
                <w:rFonts w:cs="Arial"/>
                <w:lang w:val="el-GR"/>
              </w:rPr>
              <w:t>, 100 µ</w:t>
            </w:r>
            <w:r>
              <w:rPr>
                <w:rFonts w:cs="Arial"/>
              </w:rPr>
              <w:t>g</w:t>
            </w:r>
            <w:r w:rsidRPr="005963CA">
              <w:rPr>
                <w:rFonts w:cs="Arial"/>
                <w:lang w:val="el-GR"/>
              </w:rPr>
              <w:t>/</w:t>
            </w:r>
            <w:r>
              <w:rPr>
                <w:rFonts w:cs="Arial"/>
              </w:rPr>
              <w:t>ml</w:t>
            </w:r>
            <w:r w:rsidRPr="005963CA">
              <w:rPr>
                <w:rFonts w:cs="Arial"/>
                <w:lang w:val="el-GR"/>
              </w:rPr>
              <w:t xml:space="preserve"> </w:t>
            </w:r>
            <w:r>
              <w:rPr>
                <w:rFonts w:cs="Arial"/>
              </w:rPr>
              <w:t>BSA</w:t>
            </w:r>
            <w:r w:rsidRPr="005963CA">
              <w:rPr>
                <w:rFonts w:cs="Arial"/>
                <w:lang w:val="el-GR"/>
              </w:rPr>
              <w:t xml:space="preserve">, 50% </w:t>
            </w:r>
            <w:r>
              <w:rPr>
                <w:rFonts w:cs="Arial"/>
              </w:rPr>
              <w:t>glycerol</w:t>
            </w:r>
            <w:r w:rsidRPr="005963CA">
              <w:rPr>
                <w:rFonts w:cs="Arial"/>
                <w:lang w:val="el-GR"/>
              </w:rPr>
              <w:t xml:space="preserve"> και &lt;0.02% </w:t>
            </w:r>
            <w:proofErr w:type="spellStart"/>
            <w:r w:rsidRPr="005963CA">
              <w:rPr>
                <w:rFonts w:cs="Arial"/>
                <w:lang w:val="el-GR"/>
              </w:rPr>
              <w:t>νατραζίδιο</w:t>
            </w:r>
            <w:proofErr w:type="spellEnd"/>
            <w:r w:rsidRPr="005963CA">
              <w:rPr>
                <w:rFonts w:cs="Arial"/>
                <w:lang w:val="el-GR"/>
              </w:rPr>
              <w:t xml:space="preserve">. </w:t>
            </w:r>
            <w:proofErr w:type="spellStart"/>
            <w:r>
              <w:rPr>
                <w:rFonts w:cs="Arial"/>
              </w:rPr>
              <w:t>Συσκευ</w:t>
            </w:r>
            <w:proofErr w:type="spellEnd"/>
            <w:r>
              <w:rPr>
                <w:rFonts w:cs="Arial"/>
              </w:rPr>
              <w:t xml:space="preserve">ασία 100 </w:t>
            </w:r>
            <w:proofErr w:type="spellStart"/>
            <w:r>
              <w:rPr>
                <w:rFonts w:cs="Arial"/>
              </w:rPr>
              <w:t>μl</w:t>
            </w:r>
            <w:proofErr w:type="spellEnd"/>
            <w:r>
              <w:rPr>
                <w:rFonts w:cs="Arial"/>
              </w:rPr>
              <w:t>.</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DF0BB6" w:rsidTr="00AE0313">
        <w:trPr>
          <w:trHeight w:val="1800"/>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36</w:t>
            </w:r>
          </w:p>
        </w:tc>
        <w:tc>
          <w:tcPr>
            <w:tcW w:w="5342" w:type="dxa"/>
            <w:shd w:val="clear" w:color="auto" w:fill="auto"/>
            <w:vAlign w:val="center"/>
            <w:hideMark/>
          </w:tcPr>
          <w:p w:rsidR="00E944C7" w:rsidRDefault="00E944C7" w:rsidP="00AE0313">
            <w:pPr>
              <w:rPr>
                <w:rFonts w:cs="Arial"/>
              </w:rPr>
            </w:pPr>
            <w:proofErr w:type="spellStart"/>
            <w:r w:rsidRPr="005963CA">
              <w:rPr>
                <w:rFonts w:cs="Arial"/>
                <w:lang w:val="el-GR"/>
              </w:rPr>
              <w:t>Κεκαθαρμένο</w:t>
            </w:r>
            <w:proofErr w:type="spellEnd"/>
            <w:r w:rsidRPr="005963CA">
              <w:rPr>
                <w:rFonts w:cs="Arial"/>
                <w:lang w:val="el-GR"/>
              </w:rPr>
              <w:t xml:space="preserve">, με μέθοδο χημικής συνάφειας και με χρήση του αντιγόνου </w:t>
            </w:r>
            <w:proofErr w:type="spellStart"/>
            <w:r>
              <w:rPr>
                <w:rFonts w:cs="Arial"/>
              </w:rPr>
              <w:t>PrEST</w:t>
            </w:r>
            <w:proofErr w:type="spellEnd"/>
            <w:r w:rsidRPr="005963CA">
              <w:rPr>
                <w:rFonts w:cs="Arial"/>
                <w:lang w:val="el-GR"/>
              </w:rPr>
              <w:t xml:space="preserve">,  </w:t>
            </w:r>
            <w:proofErr w:type="spellStart"/>
            <w:r w:rsidRPr="005963CA">
              <w:rPr>
                <w:rFonts w:cs="Arial"/>
                <w:lang w:val="el-GR"/>
              </w:rPr>
              <w:t>πολυκλωνικό</w:t>
            </w:r>
            <w:proofErr w:type="spellEnd"/>
            <w:r w:rsidRPr="005963CA">
              <w:rPr>
                <w:rFonts w:cs="Arial"/>
                <w:lang w:val="el-GR"/>
              </w:rPr>
              <w:t xml:space="preserve"> αντίσωμα. Να έχει παραχθεί σε κουνέλι έναντι του </w:t>
            </w:r>
            <w:proofErr w:type="spellStart"/>
            <w:r w:rsidRPr="005963CA">
              <w:rPr>
                <w:rFonts w:cs="Arial"/>
                <w:lang w:val="el-GR"/>
              </w:rPr>
              <w:t>επίτοπου</w:t>
            </w:r>
            <w:proofErr w:type="spellEnd"/>
            <w:r w:rsidRPr="005963CA">
              <w:rPr>
                <w:rFonts w:cs="Arial"/>
                <w:lang w:val="el-GR"/>
              </w:rPr>
              <w:t xml:space="preserve"> της </w:t>
            </w:r>
            <w:proofErr w:type="spellStart"/>
            <w:r w:rsidRPr="005963CA">
              <w:rPr>
                <w:rFonts w:cs="Arial"/>
                <w:lang w:val="el-GR"/>
              </w:rPr>
              <w:t>ανασυνδυασμένης</w:t>
            </w:r>
            <w:proofErr w:type="spellEnd"/>
            <w:r w:rsidRPr="005963CA">
              <w:rPr>
                <w:rFonts w:cs="Arial"/>
                <w:lang w:val="el-GR"/>
              </w:rPr>
              <w:t xml:space="preserve"> πρωτεΐνης </w:t>
            </w:r>
            <w:r>
              <w:rPr>
                <w:rFonts w:cs="Arial"/>
              </w:rPr>
              <w:t>HOPX</w:t>
            </w:r>
            <w:r w:rsidRPr="005963CA">
              <w:rPr>
                <w:rFonts w:cs="Arial"/>
                <w:lang w:val="el-GR"/>
              </w:rPr>
              <w:t xml:space="preserve">: </w:t>
            </w:r>
            <w:r>
              <w:rPr>
                <w:rFonts w:cs="Arial"/>
              </w:rPr>
              <w:t>Recombinant</w:t>
            </w:r>
            <w:r w:rsidRPr="005963CA">
              <w:rPr>
                <w:rFonts w:cs="Arial"/>
                <w:lang w:val="el-GR"/>
              </w:rPr>
              <w:t xml:space="preserve"> </w:t>
            </w:r>
            <w:r>
              <w:rPr>
                <w:rFonts w:cs="Arial"/>
              </w:rPr>
              <w:t>Protein</w:t>
            </w:r>
            <w:r w:rsidRPr="005963CA">
              <w:rPr>
                <w:rFonts w:cs="Arial"/>
                <w:lang w:val="el-GR"/>
              </w:rPr>
              <w:t xml:space="preserve"> </w:t>
            </w:r>
            <w:r>
              <w:rPr>
                <w:rFonts w:cs="Arial"/>
              </w:rPr>
              <w:t>Epitope</w:t>
            </w:r>
            <w:r w:rsidRPr="005963CA">
              <w:rPr>
                <w:rFonts w:cs="Arial"/>
                <w:lang w:val="el-GR"/>
              </w:rPr>
              <w:t xml:space="preserve"> </w:t>
            </w:r>
            <w:r>
              <w:rPr>
                <w:rFonts w:cs="Arial"/>
              </w:rPr>
              <w:t>Signature</w:t>
            </w:r>
            <w:r w:rsidRPr="005963CA">
              <w:rPr>
                <w:rFonts w:cs="Arial"/>
                <w:lang w:val="el-GR"/>
              </w:rPr>
              <w:t xml:space="preserve"> </w:t>
            </w:r>
            <w:r>
              <w:rPr>
                <w:rFonts w:cs="Arial"/>
              </w:rPr>
              <w:t>Tag</w:t>
            </w:r>
            <w:r w:rsidRPr="005963CA">
              <w:rPr>
                <w:rFonts w:cs="Arial"/>
                <w:lang w:val="el-GR"/>
              </w:rPr>
              <w:t xml:space="preserve"> (</w:t>
            </w:r>
            <w:proofErr w:type="spellStart"/>
            <w:r>
              <w:rPr>
                <w:rFonts w:cs="Arial"/>
              </w:rPr>
              <w:t>PrEST</w:t>
            </w:r>
            <w:proofErr w:type="spellEnd"/>
            <w:r w:rsidRPr="005963CA">
              <w:rPr>
                <w:rFonts w:cs="Arial"/>
                <w:lang w:val="el-GR"/>
              </w:rPr>
              <w:t xml:space="preserve">), με αλληλουχία </w:t>
            </w:r>
            <w:r>
              <w:rPr>
                <w:rFonts w:cs="Arial"/>
              </w:rPr>
              <w:t>MLIFLGCYRRRLEERAGTMSAETASGPTEDQVEILEYNFNKVDKHPDSTT</w:t>
            </w:r>
            <w:r w:rsidRPr="005963CA">
              <w:rPr>
                <w:rFonts w:cs="Arial"/>
                <w:lang w:val="el-GR"/>
              </w:rPr>
              <w:t xml:space="preserve"> </w:t>
            </w:r>
            <w:r>
              <w:rPr>
                <w:rFonts w:cs="Arial"/>
              </w:rPr>
              <w:t>LCLIAAEAGLSEEETQKWFKQRLAKWRRSEGLPSECRSVTD</w:t>
            </w:r>
            <w:r w:rsidRPr="005963CA">
              <w:rPr>
                <w:rFonts w:cs="Arial"/>
                <w:lang w:val="el-GR"/>
              </w:rPr>
              <w:t xml:space="preserve">. Θα πρέπει να αναγνωρίζει  την πρωτεΐνη </w:t>
            </w:r>
            <w:r>
              <w:rPr>
                <w:rFonts w:cs="Arial"/>
              </w:rPr>
              <w:t>HOPX</w:t>
            </w:r>
            <w:r w:rsidRPr="005963CA">
              <w:rPr>
                <w:rFonts w:cs="Arial"/>
                <w:lang w:val="el-GR"/>
              </w:rPr>
              <w:t xml:space="preserve"> στον άνθρωπο. Κατάλληλο για χρήση σε </w:t>
            </w:r>
            <w:proofErr w:type="spellStart"/>
            <w:r w:rsidRPr="005963CA">
              <w:rPr>
                <w:rFonts w:cs="Arial"/>
                <w:lang w:val="el-GR"/>
              </w:rPr>
              <w:t>ανοσοιστοχημεία</w:t>
            </w:r>
            <w:proofErr w:type="spellEnd"/>
            <w:r w:rsidRPr="005963CA">
              <w:rPr>
                <w:rFonts w:cs="Arial"/>
                <w:lang w:val="el-GR"/>
              </w:rPr>
              <w:t xml:space="preserve"> σε αραίωση 1:2500-1:5000. Να είναι διαλυμένο σε </w:t>
            </w:r>
            <w:r>
              <w:rPr>
                <w:rFonts w:cs="Arial"/>
              </w:rPr>
              <w:t>PBS</w:t>
            </w:r>
            <w:r w:rsidRPr="005963CA">
              <w:rPr>
                <w:rFonts w:cs="Arial"/>
                <w:lang w:val="el-GR"/>
              </w:rPr>
              <w:t xml:space="preserve"> (</w:t>
            </w:r>
            <w:r>
              <w:rPr>
                <w:rFonts w:cs="Arial"/>
              </w:rPr>
              <w:t>pH</w:t>
            </w:r>
            <w:r w:rsidRPr="005963CA">
              <w:rPr>
                <w:rFonts w:cs="Arial"/>
                <w:lang w:val="el-GR"/>
              </w:rPr>
              <w:t xml:space="preserve"> 7.2) με 40% </w:t>
            </w:r>
            <w:r>
              <w:rPr>
                <w:rFonts w:cs="Arial"/>
              </w:rPr>
              <w:t>glycerol</w:t>
            </w:r>
            <w:r w:rsidRPr="005963CA">
              <w:rPr>
                <w:rFonts w:cs="Arial"/>
                <w:lang w:val="el-GR"/>
              </w:rPr>
              <w:t xml:space="preserve"> και 0.02% </w:t>
            </w:r>
            <w:r>
              <w:rPr>
                <w:rFonts w:cs="Arial"/>
              </w:rPr>
              <w:t>sodium</w:t>
            </w:r>
            <w:r w:rsidRPr="005963CA">
              <w:rPr>
                <w:rFonts w:cs="Arial"/>
                <w:lang w:val="el-GR"/>
              </w:rPr>
              <w:t xml:space="preserve"> </w:t>
            </w:r>
            <w:proofErr w:type="spellStart"/>
            <w:r>
              <w:rPr>
                <w:rFonts w:cs="Arial"/>
              </w:rPr>
              <w:t>azide</w:t>
            </w:r>
            <w:proofErr w:type="spellEnd"/>
            <w:r w:rsidRPr="005963CA">
              <w:rPr>
                <w:rFonts w:cs="Arial"/>
                <w:lang w:val="el-GR"/>
              </w:rPr>
              <w:t xml:space="preserve">. </w:t>
            </w:r>
            <w:r>
              <w:rPr>
                <w:rFonts w:cs="Arial"/>
                <w:lang w:val="en-US"/>
              </w:rPr>
              <w:t>M</w:t>
            </w:r>
            <w:r>
              <w:rPr>
                <w:rFonts w:cs="Arial"/>
              </w:rPr>
              <w:t>ε π</w:t>
            </w:r>
            <w:proofErr w:type="spellStart"/>
            <w:r>
              <w:rPr>
                <w:rFonts w:cs="Arial"/>
              </w:rPr>
              <w:t>ιστο</w:t>
            </w:r>
            <w:proofErr w:type="spellEnd"/>
            <w:r>
              <w:rPr>
                <w:rFonts w:cs="Arial"/>
              </w:rPr>
              <w:t>ποιητικό α</w:t>
            </w:r>
            <w:proofErr w:type="spellStart"/>
            <w:r>
              <w:rPr>
                <w:rFonts w:cs="Arial"/>
              </w:rPr>
              <w:t>νάλυσης</w:t>
            </w:r>
            <w:proofErr w:type="spellEnd"/>
            <w:r>
              <w:rPr>
                <w:rFonts w:cs="Arial"/>
              </w:rPr>
              <w:t xml:space="preserve"> α</w:t>
            </w:r>
            <w:proofErr w:type="spellStart"/>
            <w:r>
              <w:rPr>
                <w:rFonts w:cs="Arial"/>
              </w:rPr>
              <w:t>νά</w:t>
            </w:r>
            <w:proofErr w:type="spellEnd"/>
            <w:r>
              <w:rPr>
                <w:rFonts w:cs="Arial"/>
              </w:rPr>
              <w:t xml:space="preserve"> πα</w:t>
            </w:r>
            <w:proofErr w:type="spellStart"/>
            <w:r>
              <w:rPr>
                <w:rFonts w:cs="Arial"/>
              </w:rPr>
              <w:t>ρτίδ</w:t>
            </w:r>
            <w:proofErr w:type="spellEnd"/>
            <w:r>
              <w:rPr>
                <w:rFonts w:cs="Arial"/>
              </w:rPr>
              <w:t xml:space="preserve">α. </w:t>
            </w:r>
            <w:proofErr w:type="spellStart"/>
            <w:r>
              <w:rPr>
                <w:rFonts w:cs="Arial"/>
              </w:rPr>
              <w:t>Συσκευ</w:t>
            </w:r>
            <w:proofErr w:type="spellEnd"/>
            <w:r>
              <w:rPr>
                <w:rFonts w:cs="Arial"/>
              </w:rPr>
              <w:t xml:space="preserve">ασία </w:t>
            </w:r>
            <w:proofErr w:type="spellStart"/>
            <w:r>
              <w:rPr>
                <w:rFonts w:cs="Arial"/>
              </w:rPr>
              <w:t>των</w:t>
            </w:r>
            <w:proofErr w:type="spellEnd"/>
            <w:r>
              <w:rPr>
                <w:rFonts w:cs="Arial"/>
              </w:rPr>
              <w:t xml:space="preserve"> 100 </w:t>
            </w:r>
            <w:proofErr w:type="spellStart"/>
            <w:r>
              <w:rPr>
                <w:rFonts w:cs="Arial"/>
              </w:rPr>
              <w:t>μl</w:t>
            </w:r>
            <w:proofErr w:type="spellEnd"/>
            <w:r>
              <w:rPr>
                <w:rFonts w:cs="Arial"/>
              </w:rPr>
              <w:t>.</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r w:rsidR="00E944C7" w:rsidRPr="00E944C7" w:rsidTr="00AE0313">
        <w:trPr>
          <w:trHeight w:val="416"/>
        </w:trPr>
        <w:tc>
          <w:tcPr>
            <w:tcW w:w="578" w:type="dxa"/>
            <w:shd w:val="clear" w:color="auto" w:fill="auto"/>
            <w:noWrap/>
            <w:vAlign w:val="center"/>
            <w:hideMark/>
          </w:tcPr>
          <w:p w:rsidR="00E944C7" w:rsidRPr="00DF0BB6" w:rsidRDefault="00E944C7" w:rsidP="00AE0313">
            <w:pPr>
              <w:rPr>
                <w:rFonts w:eastAsia="Calibri"/>
              </w:rPr>
            </w:pPr>
            <w:r w:rsidRPr="00DF0BB6">
              <w:rPr>
                <w:rFonts w:eastAsia="Calibri"/>
              </w:rPr>
              <w:t>37</w:t>
            </w:r>
          </w:p>
        </w:tc>
        <w:tc>
          <w:tcPr>
            <w:tcW w:w="5342" w:type="dxa"/>
            <w:shd w:val="clear" w:color="auto" w:fill="auto"/>
            <w:vAlign w:val="center"/>
            <w:hideMark/>
          </w:tcPr>
          <w:p w:rsidR="00E944C7" w:rsidRPr="005963CA" w:rsidRDefault="00E944C7" w:rsidP="00AE0313">
            <w:pPr>
              <w:rPr>
                <w:rFonts w:cs="Arial"/>
                <w:lang w:val="el-GR"/>
              </w:rPr>
            </w:pPr>
            <w:proofErr w:type="spellStart"/>
            <w:r w:rsidRPr="005963CA">
              <w:rPr>
                <w:rFonts w:cs="Arial"/>
                <w:lang w:val="el-GR"/>
              </w:rPr>
              <w:t>Κεκαθαρμένο</w:t>
            </w:r>
            <w:proofErr w:type="spellEnd"/>
            <w:r w:rsidRPr="005963CA">
              <w:rPr>
                <w:rFonts w:cs="Arial"/>
                <w:lang w:val="el-GR"/>
              </w:rPr>
              <w:t xml:space="preserve"> με χρωματογραφία </w:t>
            </w:r>
            <w:proofErr w:type="spellStart"/>
            <w:r w:rsidRPr="005963CA">
              <w:rPr>
                <w:rFonts w:cs="Arial"/>
                <w:lang w:val="el-GR"/>
              </w:rPr>
              <w:t>μονοκλωνικό</w:t>
            </w:r>
            <w:proofErr w:type="spellEnd"/>
            <w:r w:rsidRPr="005963CA">
              <w:rPr>
                <w:rFonts w:cs="Arial"/>
                <w:lang w:val="el-GR"/>
              </w:rPr>
              <w:t xml:space="preserve"> αντίσωμα (</w:t>
            </w:r>
            <w:proofErr w:type="spellStart"/>
            <w:r>
              <w:rPr>
                <w:rFonts w:cs="Arial"/>
              </w:rPr>
              <w:t>ChIP</w:t>
            </w:r>
            <w:proofErr w:type="spellEnd"/>
            <w:r w:rsidRPr="005963CA">
              <w:rPr>
                <w:rFonts w:cs="Arial"/>
                <w:lang w:val="el-GR"/>
              </w:rPr>
              <w:t xml:space="preserve"> </w:t>
            </w:r>
            <w:r>
              <w:rPr>
                <w:rFonts w:cs="Arial"/>
              </w:rPr>
              <w:t>Grade</w:t>
            </w:r>
            <w:r w:rsidRPr="005963CA">
              <w:rPr>
                <w:rFonts w:cs="Arial"/>
                <w:lang w:val="el-GR"/>
              </w:rPr>
              <w:t xml:space="preserve"> ) που έχει παραχθεί σε </w:t>
            </w:r>
            <w:proofErr w:type="spellStart"/>
            <w:r w:rsidRPr="005963CA">
              <w:rPr>
                <w:rFonts w:cs="Arial"/>
                <w:lang w:val="el-GR"/>
              </w:rPr>
              <w:t>επίμυ</w:t>
            </w:r>
            <w:proofErr w:type="spellEnd"/>
            <w:r w:rsidRPr="005963CA">
              <w:rPr>
                <w:rFonts w:cs="Arial"/>
                <w:lang w:val="el-GR"/>
              </w:rPr>
              <w:t xml:space="preserve"> έναντι της </w:t>
            </w:r>
            <w:proofErr w:type="spellStart"/>
            <w:r w:rsidRPr="005963CA">
              <w:rPr>
                <w:rFonts w:cs="Arial"/>
                <w:lang w:val="el-GR"/>
              </w:rPr>
              <w:t>συντήγμενης</w:t>
            </w:r>
            <w:proofErr w:type="spellEnd"/>
            <w:r w:rsidRPr="005963CA">
              <w:rPr>
                <w:rFonts w:cs="Arial"/>
                <w:lang w:val="el-GR"/>
              </w:rPr>
              <w:t xml:space="preserve"> πρωτεΐνης </w:t>
            </w:r>
            <w:r>
              <w:rPr>
                <w:rFonts w:cs="Arial"/>
              </w:rPr>
              <w:t>CTIP</w:t>
            </w:r>
            <w:r w:rsidRPr="005963CA">
              <w:rPr>
                <w:rFonts w:cs="Arial"/>
                <w:lang w:val="el-GR"/>
              </w:rPr>
              <w:t xml:space="preserve">2. Θα πρέπει να αναγνωρίζει  τον </w:t>
            </w:r>
            <w:proofErr w:type="spellStart"/>
            <w:r w:rsidRPr="005963CA">
              <w:rPr>
                <w:rFonts w:cs="Arial"/>
                <w:lang w:val="el-GR"/>
              </w:rPr>
              <w:t>επίτοπο</w:t>
            </w:r>
            <w:proofErr w:type="spellEnd"/>
            <w:r w:rsidRPr="005963CA">
              <w:rPr>
                <w:rFonts w:cs="Arial"/>
                <w:lang w:val="el-GR"/>
              </w:rPr>
              <w:t xml:space="preserve"> μεταξύ των αμινοξέων 1-150 της πρωτείης </w:t>
            </w:r>
            <w:r>
              <w:rPr>
                <w:rFonts w:cs="Arial"/>
              </w:rPr>
              <w:t>CTIP</w:t>
            </w:r>
            <w:r w:rsidRPr="005963CA">
              <w:rPr>
                <w:rFonts w:cs="Arial"/>
                <w:lang w:val="el-GR"/>
              </w:rPr>
              <w:t xml:space="preserve">2 σε άνθρωπο, μυ, </w:t>
            </w:r>
            <w:proofErr w:type="spellStart"/>
            <w:r w:rsidRPr="005963CA">
              <w:rPr>
                <w:rFonts w:cs="Arial"/>
                <w:lang w:val="el-GR"/>
              </w:rPr>
              <w:t>επίμυ</w:t>
            </w:r>
            <w:proofErr w:type="spellEnd"/>
            <w:r w:rsidRPr="005963CA">
              <w:rPr>
                <w:rFonts w:cs="Arial"/>
                <w:lang w:val="el-GR"/>
              </w:rPr>
              <w:t xml:space="preserve">, </w:t>
            </w:r>
            <w:r>
              <w:rPr>
                <w:rFonts w:cs="Arial"/>
              </w:rPr>
              <w:t>guinea</w:t>
            </w:r>
            <w:r w:rsidRPr="005963CA">
              <w:rPr>
                <w:rFonts w:cs="Arial"/>
                <w:lang w:val="el-GR"/>
              </w:rPr>
              <w:t xml:space="preserve"> </w:t>
            </w:r>
            <w:r>
              <w:rPr>
                <w:rFonts w:cs="Arial"/>
              </w:rPr>
              <w:t>pig</w:t>
            </w:r>
            <w:r w:rsidRPr="005963CA">
              <w:rPr>
                <w:rFonts w:cs="Arial"/>
                <w:lang w:val="el-GR"/>
              </w:rPr>
              <w:t xml:space="preserve">, </w:t>
            </w:r>
            <w:proofErr w:type="spellStart"/>
            <w:r>
              <w:rPr>
                <w:rFonts w:cs="Arial"/>
              </w:rPr>
              <w:t>Zebrafish</w:t>
            </w:r>
            <w:proofErr w:type="spellEnd"/>
            <w:r w:rsidRPr="005963CA">
              <w:rPr>
                <w:rFonts w:cs="Arial"/>
                <w:lang w:val="el-GR"/>
              </w:rPr>
              <w:t xml:space="preserve"> και </w:t>
            </w:r>
            <w:proofErr w:type="spellStart"/>
            <w:r>
              <w:rPr>
                <w:rFonts w:cs="Arial"/>
              </w:rPr>
              <w:t>Cynomolgus</w:t>
            </w:r>
            <w:proofErr w:type="spellEnd"/>
            <w:r w:rsidRPr="005963CA">
              <w:rPr>
                <w:rFonts w:cs="Arial"/>
                <w:lang w:val="el-GR"/>
              </w:rPr>
              <w:t xml:space="preserve"> </w:t>
            </w:r>
            <w:r>
              <w:rPr>
                <w:rFonts w:cs="Arial"/>
              </w:rPr>
              <w:t>monkey</w:t>
            </w:r>
            <w:r w:rsidRPr="005963CA">
              <w:rPr>
                <w:rFonts w:cs="Arial"/>
                <w:lang w:val="el-GR"/>
              </w:rPr>
              <w:t xml:space="preserve">. Κατάλληλο για χρήση σε </w:t>
            </w:r>
            <w:proofErr w:type="spellStart"/>
            <w:r w:rsidRPr="005963CA">
              <w:rPr>
                <w:rFonts w:cs="Arial"/>
                <w:lang w:val="el-GR"/>
              </w:rPr>
              <w:t>ανοσοκυτταροχημεία</w:t>
            </w:r>
            <w:proofErr w:type="spellEnd"/>
            <w:r w:rsidRPr="005963CA">
              <w:rPr>
                <w:rFonts w:cs="Arial"/>
                <w:lang w:val="el-GR"/>
              </w:rPr>
              <w:t xml:space="preserve">/ </w:t>
            </w:r>
            <w:proofErr w:type="spellStart"/>
            <w:r w:rsidRPr="005963CA">
              <w:rPr>
                <w:rFonts w:cs="Arial"/>
                <w:lang w:val="el-GR"/>
              </w:rPr>
              <w:t>ανοσοφθορισμό</w:t>
            </w:r>
            <w:proofErr w:type="spellEnd"/>
            <w:r w:rsidRPr="005963CA">
              <w:rPr>
                <w:rFonts w:cs="Arial"/>
                <w:lang w:val="el-GR"/>
              </w:rPr>
              <w:t xml:space="preserve">, </w:t>
            </w:r>
            <w:proofErr w:type="spellStart"/>
            <w:r w:rsidRPr="005963CA">
              <w:rPr>
                <w:rFonts w:cs="Arial"/>
                <w:lang w:val="el-GR"/>
              </w:rPr>
              <w:t>ανοσοιστοχημεία</w:t>
            </w:r>
            <w:proofErr w:type="spellEnd"/>
            <w:r w:rsidRPr="005963CA">
              <w:rPr>
                <w:rFonts w:cs="Arial"/>
                <w:lang w:val="el-GR"/>
              </w:rPr>
              <w:t xml:space="preserve"> (και σε τομές παραφίνης), </w:t>
            </w:r>
            <w:proofErr w:type="spellStart"/>
            <w:r w:rsidRPr="005963CA">
              <w:rPr>
                <w:rFonts w:cs="Arial"/>
                <w:lang w:val="el-GR"/>
              </w:rPr>
              <w:t>ανοσοκατακρήμνιση</w:t>
            </w:r>
            <w:proofErr w:type="spellEnd"/>
            <w:r w:rsidRPr="005963CA">
              <w:rPr>
                <w:rFonts w:cs="Arial"/>
                <w:lang w:val="el-GR"/>
              </w:rPr>
              <w:t xml:space="preserve"> χρωματίνης (</w:t>
            </w:r>
            <w:proofErr w:type="spellStart"/>
            <w:r>
              <w:rPr>
                <w:rFonts w:cs="Arial"/>
              </w:rPr>
              <w:t>Ch</w:t>
            </w:r>
            <w:r>
              <w:rPr>
                <w:rFonts w:cs="Arial"/>
                <w:lang w:val="en-US"/>
              </w:rPr>
              <w:t>i</w:t>
            </w:r>
            <w:proofErr w:type="spellEnd"/>
            <w:r>
              <w:rPr>
                <w:rFonts w:cs="Arial"/>
              </w:rPr>
              <w:t>P</w:t>
            </w:r>
            <w:r w:rsidRPr="005963CA">
              <w:rPr>
                <w:rFonts w:cs="Arial"/>
                <w:lang w:val="el-GR"/>
              </w:rPr>
              <w:t xml:space="preserve">), </w:t>
            </w:r>
            <w:proofErr w:type="spellStart"/>
            <w:r w:rsidRPr="005963CA">
              <w:rPr>
                <w:rFonts w:cs="Arial"/>
                <w:lang w:val="el-GR"/>
              </w:rPr>
              <w:t>κυτταρομετρία</w:t>
            </w:r>
            <w:proofErr w:type="spellEnd"/>
            <w:r w:rsidRPr="005963CA">
              <w:rPr>
                <w:rFonts w:cs="Arial"/>
                <w:lang w:val="el-GR"/>
              </w:rPr>
              <w:t xml:space="preserve"> ροής και </w:t>
            </w:r>
            <w:proofErr w:type="spellStart"/>
            <w:r w:rsidRPr="005963CA">
              <w:rPr>
                <w:rFonts w:cs="Arial"/>
                <w:lang w:val="el-GR"/>
              </w:rPr>
              <w:t>ανοσοαποτύπωση</w:t>
            </w:r>
            <w:proofErr w:type="spellEnd"/>
            <w:r w:rsidRPr="005963CA">
              <w:rPr>
                <w:rFonts w:cs="Arial"/>
                <w:lang w:val="el-GR"/>
              </w:rPr>
              <w:t xml:space="preserve"> όπου θα πρέπει να εντοπίζεται στα 120 </w:t>
            </w:r>
            <w:proofErr w:type="spellStart"/>
            <w:r>
              <w:rPr>
                <w:rFonts w:cs="Arial"/>
              </w:rPr>
              <w:t>kDa</w:t>
            </w:r>
            <w:proofErr w:type="spellEnd"/>
            <w:r w:rsidRPr="005963CA">
              <w:rPr>
                <w:rFonts w:cs="Arial"/>
                <w:lang w:val="el-GR"/>
              </w:rPr>
              <w:t>. Με εγγύηση ποιότητας προϊόντος. Συσκευασία των 100 μ</w:t>
            </w:r>
            <w:r>
              <w:rPr>
                <w:rFonts w:cs="Arial"/>
              </w:rPr>
              <w:t>g</w:t>
            </w:r>
            <w:r w:rsidRPr="005963CA">
              <w:rPr>
                <w:rFonts w:cs="Arial"/>
                <w:lang w:val="el-GR"/>
              </w:rPr>
              <w:t xml:space="preserve"> σε συγκέντρωση 1 </w:t>
            </w:r>
            <w:r>
              <w:rPr>
                <w:rFonts w:cs="Arial"/>
              </w:rPr>
              <w:t>mg</w:t>
            </w:r>
            <w:r w:rsidRPr="005963CA">
              <w:rPr>
                <w:rFonts w:cs="Arial"/>
                <w:lang w:val="el-GR"/>
              </w:rPr>
              <w:t>/</w:t>
            </w:r>
            <w:r>
              <w:rPr>
                <w:rFonts w:cs="Arial"/>
              </w:rPr>
              <w:t>ml</w:t>
            </w:r>
            <w:r w:rsidRPr="005963CA">
              <w:rPr>
                <w:rFonts w:cs="Arial"/>
                <w:lang w:val="el-GR"/>
              </w:rPr>
              <w:t>.</w:t>
            </w:r>
          </w:p>
        </w:tc>
        <w:tc>
          <w:tcPr>
            <w:tcW w:w="1134" w:type="dxa"/>
          </w:tcPr>
          <w:p w:rsidR="00E944C7" w:rsidRPr="005963CA" w:rsidRDefault="00E944C7" w:rsidP="00AE0313">
            <w:pPr>
              <w:rPr>
                <w:rFonts w:cs="Arial"/>
                <w:lang w:val="el-GR"/>
              </w:rPr>
            </w:pPr>
          </w:p>
        </w:tc>
        <w:tc>
          <w:tcPr>
            <w:tcW w:w="1134" w:type="dxa"/>
          </w:tcPr>
          <w:p w:rsidR="00E944C7" w:rsidRPr="005963CA" w:rsidRDefault="00E944C7" w:rsidP="00AE0313">
            <w:pPr>
              <w:rPr>
                <w:rFonts w:cs="Arial"/>
                <w:lang w:val="el-GR"/>
              </w:rPr>
            </w:pPr>
          </w:p>
        </w:tc>
        <w:tc>
          <w:tcPr>
            <w:tcW w:w="1666" w:type="dxa"/>
          </w:tcPr>
          <w:p w:rsidR="00E944C7" w:rsidRPr="005963CA" w:rsidRDefault="00E944C7" w:rsidP="00AE0313">
            <w:pPr>
              <w:rPr>
                <w:rFonts w:cs="Arial"/>
                <w:lang w:val="el-GR"/>
              </w:rPr>
            </w:pPr>
          </w:p>
        </w:tc>
      </w:tr>
    </w:tbl>
    <w:p w:rsidR="00E944C7" w:rsidRPr="00C53907" w:rsidRDefault="00E944C7" w:rsidP="00E944C7">
      <w:pPr>
        <w:pStyle w:val="normalwithoutspacing"/>
        <w:rPr>
          <w:rFonts w:asciiTheme="minorHAnsi" w:hAnsiTheme="minorHAnsi"/>
          <w:szCs w:val="22"/>
        </w:rPr>
      </w:pPr>
    </w:p>
    <w:p w:rsidR="00E944C7" w:rsidRPr="00C53907" w:rsidRDefault="00E944C7" w:rsidP="00E944C7">
      <w:pPr>
        <w:pStyle w:val="normalwithoutspacing"/>
        <w:rPr>
          <w:rFonts w:asciiTheme="minorHAnsi" w:hAnsiTheme="minorHAnsi"/>
          <w:szCs w:val="22"/>
        </w:rPr>
      </w:pPr>
    </w:p>
    <w:p w:rsidR="00E944C7" w:rsidRPr="00C53907" w:rsidRDefault="00E944C7" w:rsidP="00E944C7">
      <w:pPr>
        <w:rPr>
          <w:rFonts w:asciiTheme="minorHAnsi" w:hAnsiTheme="minorHAnsi"/>
          <w:b/>
          <w:szCs w:val="22"/>
          <w:u w:val="single"/>
          <w:lang w:val="el-GR"/>
        </w:rPr>
      </w:pPr>
    </w:p>
    <w:p w:rsidR="00E944C7" w:rsidRPr="00C53907" w:rsidRDefault="00E944C7" w:rsidP="00E944C7">
      <w:pPr>
        <w:rPr>
          <w:rFonts w:asciiTheme="minorHAnsi" w:hAnsiTheme="minorHAnsi"/>
          <w:b/>
          <w:szCs w:val="22"/>
          <w:u w:val="single"/>
          <w:lang w:val="el-GR"/>
        </w:rPr>
      </w:pPr>
    </w:p>
    <w:p w:rsidR="00E944C7" w:rsidRPr="00C53907" w:rsidRDefault="00E944C7" w:rsidP="00E944C7">
      <w:pPr>
        <w:rPr>
          <w:rFonts w:asciiTheme="minorHAnsi" w:hAnsiTheme="minorHAnsi"/>
          <w:b/>
          <w:szCs w:val="22"/>
          <w:u w:val="single"/>
          <w:lang w:val="el-GR"/>
        </w:rPr>
      </w:pPr>
    </w:p>
    <w:p w:rsidR="00E944C7" w:rsidRPr="00C53907" w:rsidRDefault="00E944C7" w:rsidP="00E944C7">
      <w:pPr>
        <w:rPr>
          <w:rFonts w:asciiTheme="minorHAnsi" w:hAnsiTheme="minorHAnsi"/>
          <w:b/>
          <w:szCs w:val="22"/>
          <w:u w:val="single"/>
          <w:lang w:val="el-GR"/>
        </w:rPr>
      </w:pPr>
    </w:p>
    <w:p w:rsidR="00E944C7" w:rsidRPr="00C53907" w:rsidRDefault="00E944C7" w:rsidP="00E944C7">
      <w:pPr>
        <w:rPr>
          <w:rFonts w:asciiTheme="minorHAnsi" w:hAnsiTheme="minorHAnsi"/>
          <w:b/>
          <w:szCs w:val="22"/>
          <w:u w:val="single"/>
          <w:lang w:val="el-GR"/>
        </w:rPr>
      </w:pPr>
    </w:p>
    <w:p w:rsidR="00E944C7" w:rsidRPr="00C53907" w:rsidRDefault="00E944C7" w:rsidP="00E944C7">
      <w:pPr>
        <w:rPr>
          <w:rFonts w:asciiTheme="minorHAnsi" w:hAnsiTheme="minorHAnsi"/>
          <w:b/>
          <w:szCs w:val="22"/>
          <w:u w:val="single"/>
          <w:lang w:val="el-GR"/>
        </w:rPr>
      </w:pPr>
    </w:p>
    <w:p w:rsidR="00E944C7" w:rsidRPr="00C53907" w:rsidRDefault="00E944C7" w:rsidP="00E944C7">
      <w:pPr>
        <w:rPr>
          <w:rFonts w:asciiTheme="minorHAnsi" w:hAnsiTheme="minorHAnsi"/>
          <w:b/>
          <w:szCs w:val="22"/>
          <w:u w:val="single"/>
          <w:lang w:val="el-GR"/>
        </w:rPr>
      </w:pPr>
    </w:p>
    <w:p w:rsidR="00E944C7" w:rsidRPr="00C53907" w:rsidRDefault="00E944C7" w:rsidP="00E944C7">
      <w:pPr>
        <w:rPr>
          <w:rFonts w:asciiTheme="minorHAnsi" w:hAnsiTheme="minorHAnsi"/>
          <w:b/>
          <w:szCs w:val="22"/>
          <w:u w:val="single"/>
          <w:lang w:val="el-GR"/>
        </w:rPr>
      </w:pPr>
    </w:p>
    <w:p w:rsidR="00E944C7" w:rsidRPr="00C53907" w:rsidRDefault="00E944C7" w:rsidP="00E944C7">
      <w:pPr>
        <w:rPr>
          <w:rFonts w:asciiTheme="minorHAnsi" w:hAnsiTheme="minorHAnsi"/>
          <w:b/>
          <w:szCs w:val="22"/>
          <w:u w:val="single"/>
          <w:lang w:val="el-GR"/>
        </w:rPr>
      </w:pPr>
    </w:p>
    <w:p w:rsidR="00E944C7" w:rsidRPr="000A346B" w:rsidRDefault="00E944C7" w:rsidP="00E944C7">
      <w:pPr>
        <w:rPr>
          <w:rFonts w:asciiTheme="minorHAnsi" w:hAnsiTheme="minorHAnsi"/>
          <w:b/>
          <w:szCs w:val="22"/>
          <w:u w:val="single"/>
          <w:lang w:val="el-GR"/>
        </w:rPr>
      </w:pPr>
    </w:p>
    <w:p w:rsidR="00E944C7" w:rsidRPr="000A346B" w:rsidRDefault="00E944C7" w:rsidP="00E944C7">
      <w:pPr>
        <w:rPr>
          <w:rFonts w:asciiTheme="minorHAnsi" w:hAnsiTheme="minorHAnsi"/>
          <w:b/>
          <w:szCs w:val="22"/>
          <w:u w:val="single"/>
          <w:lang w:val="el-GR"/>
        </w:rPr>
      </w:pPr>
    </w:p>
    <w:p w:rsidR="00E944C7" w:rsidRPr="000A346B" w:rsidRDefault="00E944C7" w:rsidP="00E944C7">
      <w:pPr>
        <w:rPr>
          <w:rFonts w:asciiTheme="minorHAnsi" w:hAnsiTheme="minorHAnsi"/>
          <w:b/>
          <w:szCs w:val="22"/>
          <w:u w:val="single"/>
          <w:lang w:val="el-GR"/>
        </w:rPr>
      </w:pPr>
    </w:p>
    <w:p w:rsidR="00E944C7" w:rsidRPr="000A346B" w:rsidRDefault="00E944C7" w:rsidP="00E944C7">
      <w:pPr>
        <w:rPr>
          <w:rFonts w:asciiTheme="minorHAnsi" w:hAnsiTheme="minorHAnsi"/>
          <w:b/>
          <w:szCs w:val="22"/>
          <w:u w:val="single"/>
          <w:lang w:val="el-GR"/>
        </w:rPr>
      </w:pPr>
    </w:p>
    <w:p w:rsidR="00E944C7" w:rsidRPr="000A346B" w:rsidRDefault="00E944C7" w:rsidP="00E944C7">
      <w:pPr>
        <w:rPr>
          <w:rFonts w:asciiTheme="minorHAnsi" w:hAnsiTheme="minorHAnsi"/>
          <w:b/>
          <w:szCs w:val="22"/>
          <w:u w:val="single"/>
          <w:lang w:val="el-GR"/>
        </w:rPr>
      </w:pPr>
    </w:p>
    <w:p w:rsidR="00E944C7" w:rsidRPr="000A346B" w:rsidRDefault="00E944C7" w:rsidP="00E944C7">
      <w:pPr>
        <w:rPr>
          <w:rFonts w:asciiTheme="minorHAnsi" w:hAnsiTheme="minorHAnsi"/>
          <w:b/>
          <w:szCs w:val="22"/>
          <w:u w:val="single"/>
          <w:lang w:val="el-GR"/>
        </w:rPr>
      </w:pPr>
    </w:p>
    <w:p w:rsidR="00E944C7" w:rsidRPr="000A346B" w:rsidRDefault="00E944C7" w:rsidP="00E944C7">
      <w:pPr>
        <w:rPr>
          <w:rFonts w:asciiTheme="minorHAnsi" w:hAnsiTheme="minorHAnsi"/>
          <w:b/>
          <w:szCs w:val="22"/>
          <w:u w:val="single"/>
          <w:lang w:val="el-GR"/>
        </w:rPr>
      </w:pPr>
    </w:p>
    <w:p w:rsidR="00E944C7" w:rsidRPr="000A346B" w:rsidRDefault="00E944C7" w:rsidP="00E944C7">
      <w:pPr>
        <w:rPr>
          <w:rFonts w:asciiTheme="minorHAnsi" w:hAnsiTheme="minorHAnsi"/>
          <w:b/>
          <w:szCs w:val="22"/>
          <w:u w:val="single"/>
          <w:lang w:val="el-GR"/>
        </w:rPr>
      </w:pPr>
    </w:p>
    <w:p w:rsidR="00E944C7" w:rsidRPr="000A346B" w:rsidRDefault="00E944C7" w:rsidP="00E944C7">
      <w:pPr>
        <w:rPr>
          <w:rFonts w:asciiTheme="minorHAnsi" w:hAnsiTheme="minorHAnsi"/>
          <w:b/>
          <w:szCs w:val="22"/>
          <w:u w:val="single"/>
          <w:lang w:val="el-GR"/>
        </w:rPr>
      </w:pPr>
    </w:p>
    <w:p w:rsidR="00E944C7" w:rsidRPr="000A346B" w:rsidRDefault="00E944C7" w:rsidP="00E944C7">
      <w:pPr>
        <w:rPr>
          <w:rFonts w:asciiTheme="minorHAnsi" w:hAnsiTheme="minorHAnsi"/>
          <w:b/>
          <w:szCs w:val="22"/>
          <w:u w:val="single"/>
          <w:lang w:val="el-GR"/>
        </w:rPr>
      </w:pPr>
    </w:p>
    <w:p w:rsidR="00E944C7" w:rsidRPr="000A346B" w:rsidRDefault="00E944C7" w:rsidP="00E944C7">
      <w:pPr>
        <w:rPr>
          <w:rFonts w:asciiTheme="minorHAnsi" w:hAnsiTheme="minorHAnsi"/>
          <w:b/>
          <w:szCs w:val="22"/>
          <w:u w:val="single"/>
          <w:lang w:val="el-GR"/>
        </w:rPr>
      </w:pPr>
    </w:p>
    <w:p w:rsidR="00E944C7" w:rsidRPr="000A346B" w:rsidRDefault="00E944C7" w:rsidP="00E944C7">
      <w:pPr>
        <w:rPr>
          <w:rFonts w:asciiTheme="minorHAnsi" w:hAnsiTheme="minorHAnsi"/>
          <w:b/>
          <w:szCs w:val="22"/>
          <w:u w:val="single"/>
          <w:lang w:val="el-GR"/>
        </w:rPr>
      </w:pPr>
    </w:p>
    <w:p w:rsidR="00E944C7" w:rsidRPr="000A346B" w:rsidRDefault="00E944C7" w:rsidP="00E944C7">
      <w:pPr>
        <w:rPr>
          <w:rFonts w:asciiTheme="minorHAnsi" w:hAnsiTheme="minorHAnsi"/>
          <w:b/>
          <w:szCs w:val="22"/>
          <w:u w:val="single"/>
          <w:lang w:val="el-GR"/>
        </w:rPr>
      </w:pPr>
    </w:p>
    <w:p w:rsidR="00E944C7" w:rsidRPr="000A346B" w:rsidRDefault="00E944C7" w:rsidP="00E944C7">
      <w:pPr>
        <w:rPr>
          <w:rFonts w:asciiTheme="minorHAnsi" w:hAnsiTheme="minorHAnsi"/>
          <w:b/>
          <w:szCs w:val="22"/>
          <w:u w:val="single"/>
          <w:lang w:val="el-GR"/>
        </w:rPr>
      </w:pPr>
    </w:p>
    <w:p w:rsidR="00E944C7" w:rsidRDefault="00E944C7" w:rsidP="00E944C7">
      <w:pPr>
        <w:rPr>
          <w:rFonts w:asciiTheme="minorHAnsi" w:hAnsiTheme="minorHAnsi"/>
          <w:b/>
          <w:szCs w:val="22"/>
          <w:u w:val="single"/>
          <w:lang w:val="el-GR"/>
        </w:rPr>
      </w:pPr>
    </w:p>
    <w:p w:rsidR="00E944C7" w:rsidRDefault="00E944C7" w:rsidP="00E944C7">
      <w:pPr>
        <w:rPr>
          <w:rFonts w:asciiTheme="minorHAnsi" w:hAnsiTheme="minorHAnsi"/>
          <w:b/>
          <w:szCs w:val="22"/>
          <w:u w:val="single"/>
          <w:lang w:val="el-GR"/>
        </w:rPr>
      </w:pPr>
    </w:p>
    <w:p w:rsidR="00D91D10" w:rsidRPr="00E944C7" w:rsidRDefault="00D91D10">
      <w:pPr>
        <w:rPr>
          <w:lang w:val="el-GR"/>
        </w:rPr>
      </w:pPr>
    </w:p>
    <w:sectPr w:rsidR="00D91D10" w:rsidRPr="00E944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C7"/>
    <w:rsid w:val="00D91D10"/>
    <w:rsid w:val="00E944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16E5F-BE0D-4DC1-875B-CACB6E48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4C7"/>
    <w:pPr>
      <w:suppressAutoHyphens/>
      <w:spacing w:after="120" w:line="240" w:lineRule="auto"/>
      <w:jc w:val="both"/>
    </w:pPr>
    <w:rPr>
      <w:rFonts w:ascii="Calibri" w:eastAsia="Times New Roman" w:hAnsi="Calibri" w:cs="Calibri"/>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ithoutspacing">
    <w:name w:val="normal_without_spacing"/>
    <w:basedOn w:val="Normal"/>
    <w:rsid w:val="00E944C7"/>
    <w:pPr>
      <w:spacing w:after="60"/>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3169</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1</cp:revision>
  <dcterms:created xsi:type="dcterms:W3CDTF">2020-02-04T11:21:00Z</dcterms:created>
  <dcterms:modified xsi:type="dcterms:W3CDTF">2020-02-04T11:22:00Z</dcterms:modified>
</cp:coreProperties>
</file>