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CD" w:rsidRPr="00C2349D" w:rsidRDefault="00C2349D">
      <w:pPr>
        <w:rPr>
          <w:b/>
          <w:sz w:val="28"/>
          <w:szCs w:val="28"/>
          <w:lang w:val="el-GR"/>
        </w:rPr>
      </w:pPr>
      <w:bookmarkStart w:id="0" w:name="_GoBack"/>
      <w:bookmarkEnd w:id="0"/>
      <w:r w:rsidRPr="00C2349D">
        <w:rPr>
          <w:b/>
          <w:sz w:val="28"/>
          <w:szCs w:val="28"/>
          <w:lang w:val="el-GR"/>
        </w:rPr>
        <w:t>ΦΥΛΛΟ ΣΥΜΜΟΡΦΩΣΗΣ</w:t>
      </w:r>
    </w:p>
    <w:p w:rsidR="00C2349D" w:rsidRDefault="00C2349D"/>
    <w:p w:rsidR="00C2349D" w:rsidRDefault="00C2349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845"/>
        <w:gridCol w:w="1517"/>
        <w:gridCol w:w="1263"/>
        <w:gridCol w:w="1613"/>
      </w:tblGrid>
      <w:tr w:rsidR="00C2349D" w:rsidRPr="00C2349D" w:rsidTr="00C2349D">
        <w:trPr>
          <w:trHeight w:val="720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</w:p>
        </w:tc>
        <w:tc>
          <w:tcPr>
            <w:tcW w:w="2648" w:type="pct"/>
            <w:gridSpan w:val="3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</w:p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C2349D">
              <w:rPr>
                <w:rFonts w:cs="Times New Roman"/>
                <w:b/>
                <w:bCs/>
                <w:sz w:val="24"/>
                <w:lang w:val="el-GR"/>
              </w:rPr>
              <w:t>ΑΠΑΙΤΗΣΗ</w:t>
            </w:r>
          </w:p>
        </w:tc>
      </w:tr>
      <w:tr w:rsidR="00C2349D" w:rsidRPr="00C2349D" w:rsidTr="00C2349D">
        <w:trPr>
          <w:trHeight w:val="720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b/>
                <w:bCs/>
                <w:sz w:val="24"/>
              </w:rPr>
            </w:pPr>
            <w:r w:rsidRPr="00C2349D">
              <w:rPr>
                <w:rFonts w:cs="Times New Roman"/>
                <w:b/>
                <w:bCs/>
                <w:sz w:val="24"/>
              </w:rPr>
              <w:t>Α/Α</w:t>
            </w:r>
          </w:p>
        </w:tc>
        <w:tc>
          <w:tcPr>
            <w:tcW w:w="1715" w:type="pct"/>
            <w:shd w:val="clear" w:color="auto" w:fill="auto"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b/>
                <w:bCs/>
                <w:sz w:val="24"/>
              </w:rPr>
            </w:pPr>
            <w:r w:rsidRPr="00C2349D">
              <w:rPr>
                <w:rFonts w:cs="Times New Roman"/>
                <w:b/>
                <w:bCs/>
                <w:sz w:val="24"/>
              </w:rPr>
              <w:t>ΤΕΧΝΙΚΕΣ ΠΡΟΔΙΑΓΡΑΦΕΣ ΕΙΔΟΥΣ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C2349D">
              <w:rPr>
                <w:rFonts w:cs="Times New Roman"/>
                <w:b/>
                <w:bCs/>
                <w:sz w:val="24"/>
                <w:lang w:val="el-GR"/>
              </w:rPr>
              <w:t xml:space="preserve">ΝΑΙ </w:t>
            </w:r>
          </w:p>
        </w:tc>
        <w:tc>
          <w:tcPr>
            <w:tcW w:w="761" w:type="pct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C2349D">
              <w:rPr>
                <w:rFonts w:cs="Times New Roman"/>
                <w:b/>
                <w:bCs/>
                <w:sz w:val="24"/>
                <w:lang w:val="el-GR"/>
              </w:rPr>
              <w:t>ΟΧΙ</w:t>
            </w:r>
          </w:p>
        </w:tc>
        <w:tc>
          <w:tcPr>
            <w:tcW w:w="972" w:type="pct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C2349D">
              <w:rPr>
                <w:rFonts w:cs="Times New Roman"/>
                <w:b/>
                <w:bCs/>
                <w:sz w:val="24"/>
                <w:lang w:val="el-GR"/>
              </w:rPr>
              <w:t>ΠΑΡΑΠΟΜΠΗ</w:t>
            </w:r>
          </w:p>
        </w:tc>
      </w:tr>
      <w:tr w:rsidR="00C2349D" w:rsidRPr="00C2349D" w:rsidTr="00C2349D">
        <w:trPr>
          <w:trHeight w:val="541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t>1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2-Μερκαπτοαιθανόλη, για μοριακή βιολογία, ηλεκτροφόρηση, κατάλληλη για κυτταροκαλλιέργειες, 99% καθαρή . Συσκευασια 100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.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395D76" w:rsidTr="00C2349D">
        <w:trPr>
          <w:trHeight w:val="834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t>2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Αλβουμίνη από ορό βοδιού, σε υγρή κατάσταση για χρήση ως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protein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standard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σε αμπούλες του 1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5 αμπούλες/ συσκευασία, 1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/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bCs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bCs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bCs/>
                <w:sz w:val="24"/>
                <w:lang w:val="el-GR"/>
              </w:rPr>
            </w:pPr>
          </w:p>
        </w:tc>
      </w:tr>
      <w:tr w:rsidR="00C2349D" w:rsidRPr="00395D76" w:rsidTr="00C2349D">
        <w:trPr>
          <w:trHeight w:val="1064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t>3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Αυτοκόλλητα φιλμ διαστάσεων 80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140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mm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. για κάλυψη μικροπλακών και προστασία των δειγμάτων. Να είναι κατάλληλο για οπτικές μετρήσεις (π.χ.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Elisa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). Συσκευασία 100 τεμαχίων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395D76" w:rsidTr="00C2349D">
        <w:trPr>
          <w:trHeight w:val="1227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t>4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Ορός εμβρύου βοδιού, κατάλληλος για καλλιέργεια κυττάρων θηλαστικών, ελεγμένος για  επίπεδα  ενδοτοξινών και αιμοσφαιρίνης, για μυκόπλασμα και ιούς  -με άδεια 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IVD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 - Συσκευασία των  500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.</w:t>
            </w:r>
          </w:p>
        </w:tc>
        <w:tc>
          <w:tcPr>
            <w:tcW w:w="914" w:type="pct"/>
            <w:shd w:val="clear" w:color="000000" w:fill="FFFFFF"/>
          </w:tcPr>
          <w:p w:rsidR="00C2349D" w:rsidRPr="00C2349D" w:rsidRDefault="00C2349D" w:rsidP="002B7213">
            <w:pPr>
              <w:spacing w:after="0"/>
              <w:rPr>
                <w:rFonts w:cs="Times New Roman"/>
                <w:bCs/>
                <w:sz w:val="24"/>
                <w:lang w:val="el-GR"/>
              </w:rPr>
            </w:pPr>
          </w:p>
        </w:tc>
        <w:tc>
          <w:tcPr>
            <w:tcW w:w="761" w:type="pct"/>
            <w:shd w:val="clear" w:color="000000" w:fill="FFFFFF"/>
          </w:tcPr>
          <w:p w:rsidR="00C2349D" w:rsidRPr="00C2349D" w:rsidRDefault="00C2349D" w:rsidP="002B7213">
            <w:pPr>
              <w:spacing w:after="0"/>
              <w:rPr>
                <w:rFonts w:cs="Times New Roman"/>
                <w:bCs/>
                <w:sz w:val="24"/>
                <w:lang w:val="el-GR"/>
              </w:rPr>
            </w:pPr>
          </w:p>
        </w:tc>
        <w:tc>
          <w:tcPr>
            <w:tcW w:w="972" w:type="pct"/>
            <w:shd w:val="clear" w:color="000000" w:fill="FFFFFF"/>
          </w:tcPr>
          <w:p w:rsidR="00C2349D" w:rsidRPr="00C2349D" w:rsidRDefault="00C2349D" w:rsidP="002B7213">
            <w:pPr>
              <w:spacing w:after="0"/>
              <w:rPr>
                <w:rFonts w:cs="Times New Roman"/>
                <w:bCs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2004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t>5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Ορός εμβρύου μόσχου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Fetal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Bovine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Serum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South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America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),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low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IgG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- 500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br/>
              <w:t xml:space="preserve">Κατάλληλος για εφαρμογές κυτταρικής καλλιέργειας και καθαρισμού πρωτεϊνών, όπου τα φυσικά επίπεδα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IgG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είναι πολύ υψηλά.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br/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lastRenderedPageBreak/>
              <w:t xml:space="preserve">Με χαμηλά επίπεδα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IgG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, μικρότερα από 5 μ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/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br/>
              <w:t xml:space="preserve">Αποστειρωμένο μέσω φιλτραρίσματος και ελεγμένος για την απουσία αερόβιων και αναερόβιων βακτηρίων μυκήτων, ζύμης και μυκοπλάσματος 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Mycoplasma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και ελεγμένος για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Bovine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Viral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Diarrhoea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BVD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),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Cytopathogenic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agents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π.χ.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Infectious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Bovine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Rhinotracheitis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IBR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) /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BHV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-1 και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Hemadsorbing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agents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.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Parainfluenza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Type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3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3).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br/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Χρόνος ζωής:  60 μήνες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2117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lastRenderedPageBreak/>
              <w:t>6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 xml:space="preserve"> MES (4-Morpholineethanesulfonic acid)-hydrate για ρυθμιστικό διάλυμα, plant cell culture tested, &gt;99% καθαρότητα, χωρίς ίχνη δισθενών μετάλλων (Mg2+,  Ca2+, Mn2+, Cu2+), εύρος λειτουργικού pH= 5.5-6.7 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C2349D" w:rsidRPr="00C2349D" w:rsidTr="00C2349D">
        <w:trPr>
          <w:trHeight w:val="1074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t>7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Διάλυμα πενικιλίνης στρεπτομυκίνης. Διάλυμα συγκέντρωσης 10,000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units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/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σε πενικιλίνη 10,000 µ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/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σε στρεπτομυκίνη, συμπυκνωμένο 100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κατάλληλο για χρήση σε καλλιέργειες κυττάρων θηλαστικών.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Συσκευασία 100 ML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C2349D" w:rsidRPr="00395D76" w:rsidTr="00C2349D">
        <w:trPr>
          <w:trHeight w:val="1560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t>8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Πλήρες κιτ ταχείας απομόνωσης πλασμιδιακού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DNA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από 1-5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καλλιέργειας με στήλες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spin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columns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). Το πρωτόκολλο να είναι μικρής διάρκειας (~10λεπτο), να βασίζεται στην αλκαλική λύση των κυττάρων και να χρησιμοποιεί  διαλύματα με έγχρωμους δείκτες για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lastRenderedPageBreak/>
              <w:t xml:space="preserve">τον έλεγχο της διαδικασίας στα  βήματα της λύσης και εξουδετέρωσης. Ο σχεδιασμός των στηλών να αποτρέπει την κατακράτηση των ρυθμιστικών διαλυμάτων σε αυτές, το διάλυμα εξουδετέρωσης  να περιέχει απαραιτήτως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RNase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και τα διαλύματα έκπλυσης να εξασφαλίζουν την αποτελεσματική απομάκρυνση πρωτεϊνών, αλάτων,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RNA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και ενδοτοξινών. Η συλλογή του τελικού προϊόντος να πραγματοποιείται σε όγκο &gt;30μ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να απομονώνει πλασμιδιακό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DNA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μεγέθους έως 25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kb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και να είναι υψηλής καθαρότητας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260/280 και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260/230 ≥ 1.8) για χρήση σε 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transformation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transfection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DNA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sequencing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PCR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labeling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cell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-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free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protein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synthesis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κ.α.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683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lastRenderedPageBreak/>
              <w:t>9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Ορμόνη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Ponasterone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, ανάλογη της εκδυσόνης, κατάλληλη για να επάγει το εκδυσονο-επαγόμενο σύστημα έκφρασης στα κύτταρα θηλαστικών. Συσκευασία 1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mg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C2349D" w:rsidRPr="00C2349D" w:rsidTr="00C2349D">
        <w:trPr>
          <w:trHeight w:val="683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t>10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PRE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STAINED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MARKER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για ηλεκτροφόρηση πρωτεινών.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br/>
              <w:t xml:space="preserve">Μάρτυρας μεγέθους ηλεκτροφόρησης πρωτεινών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SDS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-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PAGE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 έγχρωμος. Έτοιμος προς χρήση.  Για εύκολη παρακολούθηση της πορείας ηλεκτροφόρησης και της διαδικασίας μεταφοράς σε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western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 xml:space="preserve">Να περιέχει 10 ζώνες για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εκτίμηση μοριακών μεγεθών  6-180kDa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1505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lastRenderedPageBreak/>
              <w:t>11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PRE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STAINED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MARKER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χαμηλών μοριακών βαρών για ηλεκτροφόρηση πρωτεινών.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br/>
              <w:t xml:space="preserve">Μάρτυρας μεγέθους ηλεκτροφόρησης πρωτεινών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SDS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-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PAGE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 έγχρωμος. Έτοιμος προς χρήση.  Για εύκολη παρακολούθηση της πορείας ηλεκτροφόρησης και της διαδικασίας μεταφοράς σε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western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Να περιέχει ζώνες για εκτίμηση μοριακών μεγεθών  10-180kDa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395D76" w:rsidTr="00C2349D">
        <w:trPr>
          <w:trHeight w:val="541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t>12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Διάλυμα στείρου θρεπτικού υλικού κυτταροκαλλιέργειας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RPMI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1640  με "σταθεροποιημένη γλουταμίνη"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stable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glutamine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) - Συσκευασία των  500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.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395D76" w:rsidTr="00C2349D">
        <w:trPr>
          <w:trHeight w:val="1461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C2349D">
              <w:rPr>
                <w:rFonts w:cs="Times New Roman"/>
                <w:sz w:val="24"/>
              </w:rPr>
              <w:t>13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NaHSO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3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Sodium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Bisulfite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) για ρυθμιστικό διάλυμα, άνυδρο, σε συκευασία που να εξασφαλίζει την απουσία υγρασίας, με συγκέντρωση ιόντων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Pb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≤0.001%, συγκέντρωση ιόντων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Fe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: ≤0.002%, συγκέντρωση ιόντων χλωρίου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Cl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): ≤0.02%, προσμείξεις σε συγκέντρωση ≤0.005%, 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2055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t>14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Ενζυμο περιορισμού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SpeI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-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HF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® , συγκέντρωσης 20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u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/μ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. Να είναι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recombinant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να έχει μειωμένο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star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activity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,  να "κόβει" αποτελεσματικά σε 5-15 λεπτά επώασης και να έχει αντοχή σε πολύωρη πέψη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overnight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). Να δρα με 100% απόδοση σε ένα διάλυμα αντίδρασης κοινό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lastRenderedPageBreak/>
              <w:t xml:space="preserve">για όλα τα ένζυμα περιορισμού υψηλής πιστότητας. Το διάλυμα αντίδρασης να περιέχει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BSA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και να είναι ελεγμένο για δράση 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Dnase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και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Rnase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. Με το ένζυμο να παρέχεται  10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διάλυμα αντίδρασης και 6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Loading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Dye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Purple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br w:type="page"/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Συσκευασία: 500 units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1391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lastRenderedPageBreak/>
              <w:t>15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weighing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dish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τετράγωνα, διαστάσεων ~ 46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46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8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mm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, λευκά,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ανθεκτικά σε οξέα, βάσεις, αλκοόλες.  Να αντέχουν σε υψηλές θερμοκρασίες . 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395D76" w:rsidTr="00C2349D">
        <w:trPr>
          <w:trHeight w:val="541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t>16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Η ζεοσίνη είναι  ένα αντιβιοτικό σκεύασμα φλεομυκίνης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1, ένα γλυκοπεπτιδικό αντιβιοτικό που παράγεται από τον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Streptomyces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verticillus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.  Το αντιβιοτικό δρα δεσμεύοντας και διασπώντας το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DNA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οδηγώντας στον κυτταρικό θάνατο.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br/>
              <w:t>Η ζεοσίνη χρησιμοποιείται για την επιλογή καλλιεργειών κυττάρων θηλαστικών, εντόμων, ζυμών, βακτηρίων και φυτών. Χρησιμοποιείται σε συγκέντρωση  που κυμαίνεται μεταξύ 50-400 μ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/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ανάλογα με τον τύπο κυττάρου. Το προϊόν αυτό παρέχεται στα 100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/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σε αποστειρωμένο νερό σε φιαλίδια 8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1,25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.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2055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t>17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 xml:space="preserve">Για χρήση σε λουτρά κυκλοφορίας, θερμοκοιτίδες και άλλα όργανα ελεγχόμενης θερμοκρασίας.Έτοιμο προς χρήση υγρό σχεδιασμένο για να σταθεροποιεί και να 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προστατεύει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 xml:space="preserve">το νερό σε υδατόλουτρα. Μη διαβρωτικό για συμβατικά υλικά. Καλά χαρακτηριστικά διαβροχής. Χαμηλός αφρισμός. </w:t>
            </w:r>
            <w:r w:rsidRPr="00C2349D">
              <w:rPr>
                <w:rFonts w:ascii="Times New Roman" w:hAnsi="Times New Roman" w:cs="Times New Roman"/>
                <w:sz w:val="24"/>
              </w:rPr>
              <w:t>Μπλε χρωστική για απεικόνιση. Συσκευασία 5L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sz w:val="24"/>
                <w:lang w:val="el-GR"/>
              </w:rPr>
            </w:pPr>
          </w:p>
        </w:tc>
      </w:tr>
      <w:tr w:rsidR="00C2349D" w:rsidRPr="00395D76" w:rsidTr="00C2349D">
        <w:trPr>
          <w:trHeight w:val="2055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lastRenderedPageBreak/>
              <w:t>18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>Πιπέττες μεταβλητού όγκου 20 και 200 μ</w:t>
            </w:r>
            <w:r w:rsidRPr="00C2349D">
              <w:rPr>
                <w:rFonts w:ascii="Times New Roman" w:hAnsi="Times New Roman" w:cs="Times New Roman"/>
                <w:sz w:val="24"/>
              </w:rPr>
              <w:t>l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(3τμχ). Κάθε πιπέττα: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 xml:space="preserve">• Να έχει δυναμικό ελαφρύ σχήμα 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>• Να επιτρέπει την αυτόματη απόρριψη ρύγχους μέσω ξεχωριστού κομβίου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>• Να έχει κλείδωμα όγκου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 xml:space="preserve">• </w:t>
            </w:r>
            <w:r w:rsidRPr="00C2349D">
              <w:rPr>
                <w:rFonts w:ascii="Times New Roman" w:hAnsi="Times New Roman" w:cs="Times New Roman"/>
                <w:sz w:val="24"/>
              </w:rPr>
              <w:t>N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α είναι υψηλής αντοχής, ανθεκτική στους διαλύτες, στη θερμότητα και  στο </w:t>
            </w:r>
            <w:r w:rsidRPr="00C2349D">
              <w:rPr>
                <w:rFonts w:ascii="Times New Roman" w:hAnsi="Times New Roman" w:cs="Times New Roman"/>
                <w:sz w:val="24"/>
              </w:rPr>
              <w:t>UV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>• Να είναι πλήρως αποστειρώσιμη (121 º</w:t>
            </w:r>
            <w:r w:rsidRPr="00C2349D">
              <w:rPr>
                <w:rFonts w:ascii="Times New Roman" w:hAnsi="Times New Roman" w:cs="Times New Roman"/>
                <w:sz w:val="24"/>
              </w:rPr>
              <w:t>C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για 20 </w:t>
            </w:r>
            <w:r w:rsidRPr="00C2349D">
              <w:rPr>
                <w:rFonts w:ascii="Times New Roman" w:hAnsi="Times New Roman" w:cs="Times New Roman"/>
                <w:sz w:val="24"/>
              </w:rPr>
              <w:t>min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). 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 xml:space="preserve">• Να έχει </w:t>
            </w:r>
            <w:r w:rsidRPr="00C2349D">
              <w:rPr>
                <w:rFonts w:ascii="Times New Roman" w:hAnsi="Times New Roman" w:cs="Times New Roman"/>
                <w:sz w:val="24"/>
              </w:rPr>
              <w:t>CE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>-</w:t>
            </w:r>
            <w:r w:rsidRPr="00C2349D">
              <w:rPr>
                <w:rFonts w:ascii="Times New Roman" w:hAnsi="Times New Roman" w:cs="Times New Roman"/>
                <w:sz w:val="24"/>
              </w:rPr>
              <w:t>IVD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πιστοποίηση 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 xml:space="preserve">• Τα διάφορα μέρη της πιπέττας να μπορούν να λυθούν εύκολα, έτσι ώστε οι μηχανισμοί τους να είναι προσιτοί για την επισκευή και τον καθαρισμό τους 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>• Να δοθεί εγγύηση τουλάχιστον 6 μηνών.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 xml:space="preserve">• Να υπάρχει η δυνατότητα </w:t>
            </w:r>
            <w:r w:rsidRPr="00C2349D">
              <w:rPr>
                <w:rFonts w:ascii="Times New Roman" w:hAnsi="Times New Roman" w:cs="Times New Roman"/>
                <w:sz w:val="24"/>
              </w:rPr>
              <w:t>service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και βαθμονόμησης και μετά το πέρας της Εγγύησης.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</w:r>
            <w:r w:rsidRPr="00C2349D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Πιπέττα 20μ</w:t>
            </w:r>
            <w:r w:rsidRPr="00C2349D"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  <w:r w:rsidRPr="00C2349D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 xml:space="preserve"> (Χ2)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>- Να καλύπτει τους όγκους 2μ</w:t>
            </w:r>
            <w:r w:rsidRPr="00C2349D">
              <w:rPr>
                <w:rFonts w:ascii="Times New Roman" w:hAnsi="Times New Roman" w:cs="Times New Roman"/>
                <w:sz w:val="24"/>
              </w:rPr>
              <w:t>l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>-20μ</w:t>
            </w:r>
            <w:r w:rsidRPr="00C2349D">
              <w:rPr>
                <w:rFonts w:ascii="Times New Roman" w:hAnsi="Times New Roman" w:cs="Times New Roman"/>
                <w:sz w:val="24"/>
              </w:rPr>
              <w:t>l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 xml:space="preserve">- Να είναι ακριβείας: </w:t>
            </w:r>
            <w:r w:rsidRPr="00C2349D">
              <w:rPr>
                <w:rFonts w:ascii="Times New Roman" w:hAnsi="Times New Roman" w:cs="Times New Roman"/>
                <w:sz w:val="24"/>
              </w:rPr>
              <w:t>accuracy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+/-  1.0- 5.0%, </w:t>
            </w:r>
            <w:r w:rsidRPr="00C2349D">
              <w:rPr>
                <w:rFonts w:ascii="Times New Roman" w:hAnsi="Times New Roman" w:cs="Times New Roman"/>
                <w:sz w:val="24"/>
              </w:rPr>
              <w:t>maximum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sz w:val="24"/>
              </w:rPr>
              <w:t>precision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0.5-3.0%. 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</w:r>
            <w:r w:rsidRPr="00C2349D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Πιπέττα 200μ</w:t>
            </w:r>
            <w:r w:rsidRPr="00C2349D"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  <w:r w:rsidRPr="00C2349D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 xml:space="preserve"> (Χ1)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>- Να καλύπτει τους όγκους 20μ</w:t>
            </w:r>
            <w:r w:rsidRPr="00C2349D">
              <w:rPr>
                <w:rFonts w:ascii="Times New Roman" w:hAnsi="Times New Roman" w:cs="Times New Roman"/>
                <w:sz w:val="24"/>
              </w:rPr>
              <w:t>l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>-200μ</w:t>
            </w:r>
            <w:r w:rsidRPr="00C2349D">
              <w:rPr>
                <w:rFonts w:ascii="Times New Roman" w:hAnsi="Times New Roman" w:cs="Times New Roman"/>
                <w:sz w:val="24"/>
              </w:rPr>
              <w:t>l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br/>
              <w:t xml:space="preserve">- Να είναι ακριβείας: </w:t>
            </w:r>
            <w:r w:rsidRPr="00C2349D">
              <w:rPr>
                <w:rFonts w:ascii="Times New Roman" w:hAnsi="Times New Roman" w:cs="Times New Roman"/>
                <w:sz w:val="24"/>
              </w:rPr>
              <w:lastRenderedPageBreak/>
              <w:t>accuracy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+/-  0.9- 1.0%, </w:t>
            </w:r>
            <w:r w:rsidRPr="00C2349D">
              <w:rPr>
                <w:rFonts w:ascii="Times New Roman" w:hAnsi="Times New Roman" w:cs="Times New Roman"/>
                <w:sz w:val="24"/>
              </w:rPr>
              <w:t>maximum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sz w:val="24"/>
              </w:rPr>
              <w:t>precision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0.3-0.5% 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1560"/>
          <w:jc w:val="center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</w:rPr>
              <w:lastRenderedPageBreak/>
              <w:t>1</w:t>
            </w:r>
            <w:r w:rsidRPr="00C2349D">
              <w:rPr>
                <w:rFonts w:cs="Times New Roman"/>
                <w:sz w:val="24"/>
                <w:lang w:val="el-GR"/>
              </w:rPr>
              <w:t>9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Προσαρμογέας για Φίλτρα  ειδικά για διήθηση κυττάρων(ηθμοί) για 15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, 12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75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mm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FACS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tubes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) σωληνάρια. Στείρα, συσκευασμένα ανά 1. Συσκευασία 25 τεμαχίων.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2756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t>20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5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σωληνάρια διαστάσεων 12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75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mm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κυκλικού πυθμένα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Round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Bottom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) πολυπροπυλενίου για κυτταρομετρία ροής (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Flow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Cytometry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), μη αποστειρωμένα, χωρίς καπάκι. Συσκευασία 2000τμχ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spacing w:after="0"/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500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t>21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Φίλτρα ειδικά για διήθηση κυττάρων που εφαρμόζουν πάνω σε 50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Falcon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tubes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, για την παρασκευή ομοιογενούς εναιωρήματος κυττάρων. Στείρα, έτοιμα για χρήση, συσκευασμένα ανά 1. Από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nylon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φίλτρο με πόρους διαμέτρου 70 μ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Συσκευασία 50 τεμαχίων.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3264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t>22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Στρογγυλά φίλτρα για προσαρμογή στο στόμιο σύριγγας, για την αποστείρωση υγρών, Διαμέτρου 32 </w:t>
            </w:r>
            <w:r w:rsidRPr="00C2349D">
              <w:rPr>
                <w:rFonts w:ascii="Times New Roman" w:hAnsi="Times New Roman" w:cs="Times New Roman"/>
                <w:sz w:val="24"/>
              </w:rPr>
              <w:t>mm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>. Με φίλτρο με διάμετρο πόρων 0,2 μ</w:t>
            </w:r>
            <w:r w:rsidRPr="00C2349D">
              <w:rPr>
                <w:rFonts w:ascii="Times New Roman" w:hAnsi="Times New Roman" w:cs="Times New Roman"/>
                <w:sz w:val="24"/>
              </w:rPr>
              <w:t>m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για αποστείρωση και ενσωματωμένο προφίλτρο με διάμετρο πόρων 0,8 μ</w:t>
            </w:r>
            <w:r w:rsidRPr="00C2349D">
              <w:rPr>
                <w:rFonts w:ascii="Times New Roman" w:hAnsi="Times New Roman" w:cs="Times New Roman"/>
                <w:sz w:val="24"/>
              </w:rPr>
              <w:t>m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t xml:space="preserve"> για την κατακράτηση μικροσωματιδίων. Με χαμηλή πρόσδεση πρωτεϊνών ώστε να μειώνεται η απώλεια </w:t>
            </w:r>
            <w:r w:rsidRPr="00C2349D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 xml:space="preserve">δείγματος. </w:t>
            </w:r>
            <w:r w:rsidRPr="00C2349D">
              <w:rPr>
                <w:rFonts w:ascii="Times New Roman" w:hAnsi="Times New Roman" w:cs="Times New Roman"/>
                <w:sz w:val="24"/>
              </w:rPr>
              <w:t xml:space="preserve">Αποστειρωμένα με γ-ακτινοβολία. Συσκευασμένα ανά ένα. 50pc/pkg 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C2349D" w:rsidTr="00C2349D">
        <w:trPr>
          <w:trHeight w:val="500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lastRenderedPageBreak/>
              <w:t>23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EB2E83">
            <w:pPr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Φλάσκες βιοαντιδραστήρα για όγκους έως και 350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. Κατασκευασμένες από πολυστυρένιο με ημι-διαπερατή μεμβάνη αναγεννημένης κυτταρίνης 100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KDa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. αποστειρωμένες με γ-ακτινοβολία. Κατάλληλες για την παραγωγή μονοκλωνικών αντισωμάτων 1-2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mg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/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 και επαναχρησιμοποιούμενες με την κυτταρική σειρά υπό άσηπτες συνθήκες. </w:t>
            </w:r>
            <w:r w:rsidRPr="00C2349D">
              <w:rPr>
                <w:rFonts w:ascii="Times New Roman" w:hAnsi="Times New Roman" w:cs="Times New Roman"/>
                <w:color w:val="000000"/>
                <w:sz w:val="24"/>
              </w:rPr>
              <w:t>Σε πακέτο των 5 τεμαχίων</w:t>
            </w: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395D76" w:rsidTr="00C2349D">
        <w:trPr>
          <w:trHeight w:val="500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t>24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EB2E83">
            <w:pPr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 xml:space="preserve">Οι υποψήφιοι ανάδοχοι απαιτείται να προσκομίζουν Υπεύθυνη Δήλωση στην οποία θα δηλώνεται ότι είναι επίσημοι αντιπρόσωποι της Κατασκευάστριας Εταιρείας. </w:t>
            </w:r>
          </w:p>
          <w:p w:rsidR="00C2349D" w:rsidRPr="00C2349D" w:rsidRDefault="00C2349D" w:rsidP="00EB2E83">
            <w:pPr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</w:p>
          <w:p w:rsidR="00C2349D" w:rsidRPr="00C2349D" w:rsidRDefault="00C2349D" w:rsidP="00EB2E83">
            <w:pPr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  <w:tr w:rsidR="00C2349D" w:rsidRPr="00395D76" w:rsidTr="00C2349D">
        <w:trPr>
          <w:trHeight w:val="500"/>
          <w:jc w:val="center"/>
        </w:trPr>
        <w:tc>
          <w:tcPr>
            <w:tcW w:w="638" w:type="pct"/>
            <w:shd w:val="clear" w:color="auto" w:fill="auto"/>
            <w:noWrap/>
            <w:vAlign w:val="center"/>
          </w:tcPr>
          <w:p w:rsidR="00C2349D" w:rsidRPr="00C2349D" w:rsidRDefault="00C2349D" w:rsidP="002B7213">
            <w:pPr>
              <w:spacing w:after="0"/>
              <w:jc w:val="center"/>
              <w:rPr>
                <w:rFonts w:cs="Times New Roman"/>
                <w:sz w:val="24"/>
                <w:lang w:val="el-GR"/>
              </w:rPr>
            </w:pPr>
            <w:r w:rsidRPr="00C2349D">
              <w:rPr>
                <w:rFonts w:cs="Times New Roman"/>
                <w:sz w:val="24"/>
                <w:lang w:val="el-GR"/>
              </w:rPr>
              <w:t>25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C2349D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Η ημερομηνία λήξης των προϊόντων κατά την παράδοση τους, κατά περίπτωση, να μην είναι μικρότερη του ενός έτους.</w:t>
            </w:r>
          </w:p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</w:p>
          <w:p w:rsidR="00C2349D" w:rsidRPr="00C2349D" w:rsidRDefault="00C2349D" w:rsidP="002B72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</w:p>
        </w:tc>
        <w:tc>
          <w:tcPr>
            <w:tcW w:w="914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761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  <w:tc>
          <w:tcPr>
            <w:tcW w:w="972" w:type="pct"/>
          </w:tcPr>
          <w:p w:rsidR="00C2349D" w:rsidRPr="00C2349D" w:rsidRDefault="00C2349D" w:rsidP="002B7213">
            <w:pPr>
              <w:rPr>
                <w:rFonts w:cs="Times New Roman"/>
                <w:color w:val="000000"/>
                <w:sz w:val="24"/>
                <w:lang w:val="el-GR"/>
              </w:rPr>
            </w:pPr>
          </w:p>
        </w:tc>
      </w:tr>
    </w:tbl>
    <w:p w:rsidR="00C2349D" w:rsidRPr="00C2349D" w:rsidRDefault="00C2349D">
      <w:pPr>
        <w:rPr>
          <w:lang w:val="el-GR"/>
        </w:rPr>
      </w:pPr>
    </w:p>
    <w:sectPr w:rsidR="00C2349D" w:rsidRPr="00C2349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DA1" w:rsidRDefault="00586DA1" w:rsidP="00C2349D">
      <w:pPr>
        <w:spacing w:after="0"/>
      </w:pPr>
      <w:r>
        <w:separator/>
      </w:r>
    </w:p>
  </w:endnote>
  <w:endnote w:type="continuationSeparator" w:id="0">
    <w:p w:rsidR="00586DA1" w:rsidRDefault="00586DA1" w:rsidP="00C23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628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49D" w:rsidRDefault="00C2349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D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349D" w:rsidRDefault="00C234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DA1" w:rsidRDefault="00586DA1" w:rsidP="00C2349D">
      <w:pPr>
        <w:spacing w:after="0"/>
      </w:pPr>
      <w:r>
        <w:separator/>
      </w:r>
    </w:p>
  </w:footnote>
  <w:footnote w:type="continuationSeparator" w:id="0">
    <w:p w:rsidR="00586DA1" w:rsidRDefault="00586DA1" w:rsidP="00C234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9D"/>
    <w:rsid w:val="00395D76"/>
    <w:rsid w:val="00586DA1"/>
    <w:rsid w:val="006B21F1"/>
    <w:rsid w:val="00806F58"/>
    <w:rsid w:val="0089776E"/>
    <w:rsid w:val="009A34CD"/>
    <w:rsid w:val="00C2349D"/>
    <w:rsid w:val="00E42618"/>
    <w:rsid w:val="00E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4E8E-ED25-4E83-80C2-213FCC60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9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49D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C2349D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C2349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C2349D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1213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Maria Apostolaki</cp:lastModifiedBy>
  <cp:revision>2</cp:revision>
  <dcterms:created xsi:type="dcterms:W3CDTF">2019-11-14T12:21:00Z</dcterms:created>
  <dcterms:modified xsi:type="dcterms:W3CDTF">2019-11-14T12:21:00Z</dcterms:modified>
</cp:coreProperties>
</file>