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F1" w:rsidRDefault="007603F1">
      <w:bookmarkStart w:id="0" w:name="_GoBack"/>
      <w:bookmarkEnd w:id="0"/>
    </w:p>
    <w:p w:rsidR="00744E32" w:rsidRPr="00744E32" w:rsidRDefault="00744E32">
      <w:pPr>
        <w:rPr>
          <w:b/>
          <w:lang w:val="el-GR"/>
        </w:rPr>
      </w:pPr>
      <w:r w:rsidRPr="00744E32">
        <w:rPr>
          <w:b/>
          <w:lang w:val="el-GR"/>
        </w:rPr>
        <w:t>ΦΥΛΛΟ ΣΥΜΜΟΡΦΩΣΗΣ</w:t>
      </w:r>
    </w:p>
    <w:p w:rsidR="00744E32" w:rsidRDefault="00744E3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786"/>
        <w:gridCol w:w="1028"/>
        <w:gridCol w:w="1097"/>
        <w:gridCol w:w="1496"/>
      </w:tblGrid>
      <w:tr w:rsidR="00744E32" w:rsidRPr="00EA147A" w:rsidTr="005B4511">
        <w:trPr>
          <w:trHeight w:val="60"/>
          <w:jc w:val="center"/>
        </w:trPr>
        <w:tc>
          <w:tcPr>
            <w:tcW w:w="344" w:type="pct"/>
            <w:shd w:val="clear" w:color="auto" w:fill="auto"/>
            <w:noWrap/>
            <w:vAlign w:val="center"/>
          </w:tcPr>
          <w:p w:rsidR="00744E32" w:rsidRPr="00EA147A" w:rsidRDefault="00744E32" w:rsidP="005B4511">
            <w:pPr>
              <w:spacing w:after="0"/>
              <w:jc w:val="center"/>
              <w:rPr>
                <w:b/>
                <w:bCs/>
              </w:rPr>
            </w:pPr>
          </w:p>
        </w:tc>
        <w:tc>
          <w:tcPr>
            <w:tcW w:w="2660" w:type="pct"/>
            <w:shd w:val="clear" w:color="auto" w:fill="auto"/>
            <w:vAlign w:val="center"/>
          </w:tcPr>
          <w:p w:rsidR="00744E32" w:rsidRPr="00EA147A" w:rsidRDefault="00744E32" w:rsidP="005B4511">
            <w:pPr>
              <w:spacing w:after="0"/>
              <w:jc w:val="center"/>
              <w:rPr>
                <w:b/>
                <w:bCs/>
              </w:rPr>
            </w:pPr>
          </w:p>
        </w:tc>
        <w:tc>
          <w:tcPr>
            <w:tcW w:w="1996" w:type="pct"/>
            <w:gridSpan w:val="3"/>
          </w:tcPr>
          <w:p w:rsidR="00744E32" w:rsidRPr="00EA147A" w:rsidRDefault="00744E32" w:rsidP="005B4511">
            <w:pPr>
              <w:spacing w:after="0"/>
              <w:jc w:val="center"/>
              <w:rPr>
                <w:b/>
                <w:bCs/>
                <w:lang w:val="el-GR"/>
              </w:rPr>
            </w:pPr>
            <w:r w:rsidRPr="00EA147A">
              <w:rPr>
                <w:b/>
                <w:bCs/>
                <w:lang w:val="el-GR"/>
              </w:rPr>
              <w:t>ΑΠΑΙΤΗΣΗ</w:t>
            </w:r>
          </w:p>
        </w:tc>
      </w:tr>
      <w:tr w:rsidR="00744E32" w:rsidRPr="00EA147A" w:rsidTr="005B4511">
        <w:trPr>
          <w:trHeight w:val="720"/>
          <w:jc w:val="center"/>
        </w:trPr>
        <w:tc>
          <w:tcPr>
            <w:tcW w:w="344" w:type="pct"/>
            <w:shd w:val="clear" w:color="auto" w:fill="auto"/>
            <w:noWrap/>
            <w:vAlign w:val="center"/>
            <w:hideMark/>
          </w:tcPr>
          <w:p w:rsidR="00744E32" w:rsidRPr="00EA147A" w:rsidRDefault="00744E32" w:rsidP="005B4511">
            <w:pPr>
              <w:spacing w:after="0"/>
              <w:jc w:val="center"/>
              <w:rPr>
                <w:b/>
                <w:bCs/>
              </w:rPr>
            </w:pPr>
            <w:r w:rsidRPr="00EA147A">
              <w:rPr>
                <w:b/>
                <w:bCs/>
              </w:rPr>
              <w:t>Α/Α</w:t>
            </w:r>
          </w:p>
        </w:tc>
        <w:tc>
          <w:tcPr>
            <w:tcW w:w="2660" w:type="pct"/>
            <w:shd w:val="clear" w:color="auto" w:fill="auto"/>
            <w:vAlign w:val="center"/>
            <w:hideMark/>
          </w:tcPr>
          <w:p w:rsidR="00744E32" w:rsidRPr="00EA147A" w:rsidRDefault="00744E32" w:rsidP="005B4511">
            <w:pPr>
              <w:spacing w:after="0"/>
              <w:jc w:val="center"/>
              <w:rPr>
                <w:b/>
                <w:bCs/>
              </w:rPr>
            </w:pPr>
            <w:r w:rsidRPr="00EA147A">
              <w:rPr>
                <w:b/>
                <w:bCs/>
              </w:rPr>
              <w:t>ΤΕΧΝΙΚΕΣ ΠΡΟΔΙΑΓΡΑΦΕΣ ΕΙΔΟΥΣ</w:t>
            </w:r>
          </w:p>
        </w:tc>
        <w:tc>
          <w:tcPr>
            <w:tcW w:w="576" w:type="pct"/>
          </w:tcPr>
          <w:p w:rsidR="00744E32" w:rsidRPr="00EA147A" w:rsidRDefault="00744E32" w:rsidP="005B4511">
            <w:pPr>
              <w:spacing w:after="0"/>
              <w:jc w:val="center"/>
              <w:rPr>
                <w:b/>
                <w:bCs/>
                <w:lang w:val="el-GR"/>
              </w:rPr>
            </w:pPr>
            <w:r w:rsidRPr="00EA147A">
              <w:rPr>
                <w:b/>
                <w:bCs/>
                <w:lang w:val="el-GR"/>
              </w:rPr>
              <w:t xml:space="preserve">ΝΑΙ </w:t>
            </w:r>
          </w:p>
        </w:tc>
        <w:tc>
          <w:tcPr>
            <w:tcW w:w="614" w:type="pct"/>
          </w:tcPr>
          <w:p w:rsidR="00744E32" w:rsidRPr="00EA147A" w:rsidRDefault="00744E32" w:rsidP="005B4511">
            <w:pPr>
              <w:spacing w:after="0"/>
              <w:jc w:val="center"/>
              <w:rPr>
                <w:b/>
                <w:bCs/>
                <w:lang w:val="el-GR"/>
              </w:rPr>
            </w:pPr>
            <w:r w:rsidRPr="00EA147A">
              <w:rPr>
                <w:b/>
                <w:bCs/>
                <w:lang w:val="el-GR"/>
              </w:rPr>
              <w:t>ΟΧΙ</w:t>
            </w:r>
          </w:p>
        </w:tc>
        <w:tc>
          <w:tcPr>
            <w:tcW w:w="806" w:type="pct"/>
          </w:tcPr>
          <w:p w:rsidR="00744E32" w:rsidRPr="00EA147A" w:rsidRDefault="00744E32" w:rsidP="005B4511">
            <w:pPr>
              <w:spacing w:after="0"/>
              <w:jc w:val="center"/>
              <w:rPr>
                <w:b/>
                <w:bCs/>
                <w:lang w:val="el-GR"/>
              </w:rPr>
            </w:pPr>
            <w:r w:rsidRPr="00EA147A">
              <w:rPr>
                <w:b/>
                <w:bCs/>
                <w:lang w:val="el-GR"/>
              </w:rPr>
              <w:t>ΠΑΡΑΠΟΜΠΗ</w:t>
            </w:r>
          </w:p>
        </w:tc>
      </w:tr>
      <w:tr w:rsidR="00744E32" w:rsidRPr="00EA147A" w:rsidTr="005B4511">
        <w:trPr>
          <w:trHeight w:val="834"/>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rFonts w:eastAsia="Calibri"/>
                <w:lang w:val="el-GR"/>
              </w:rPr>
              <w:t>1</w:t>
            </w:r>
          </w:p>
        </w:tc>
        <w:tc>
          <w:tcPr>
            <w:tcW w:w="2660" w:type="pct"/>
            <w:shd w:val="clear" w:color="auto" w:fill="auto"/>
            <w:vAlign w:val="center"/>
          </w:tcPr>
          <w:p w:rsidR="00744E32" w:rsidRPr="00EA147A" w:rsidRDefault="00744E32" w:rsidP="005B4511">
            <w:pPr>
              <w:spacing w:after="0"/>
              <w:rPr>
                <w:color w:val="000000"/>
                <w:lang w:val="el-GR" w:eastAsia="el-GR"/>
              </w:rPr>
            </w:pPr>
            <w:r w:rsidRPr="00EA147A">
              <w:rPr>
                <w:rFonts w:eastAsia="Calibri"/>
                <w:lang w:val="el-GR"/>
              </w:rPr>
              <w:t>Καθαρισμός PCR προϊόντος και gel extraction να επιτυγχάνονται με το ίδιο kit χρησιμοποιώντας το ίδιο buffer. Η διαδικασία να επιτυγχάνεται σε λιγότερο από 15 λεπτά. Να παρέχει υψηλή ανάκτηση DNA ακόμα και από πολύ μικρά κομμάτια (&gt;50bp). Να επιτυγχάνεται πλήρης απομάκρυνση των primers. Να είναι δυνατοί μικροί όγκοι έκλουσης από 15 μl μέχρι 30 μl. Να χρησιμοποιεί τεχνολογία Silica Membrane με spin columns. Να παρέχει DNA έτοιμο προς χρήση, κατάλληλο για κλωνοποίηση, sequencing, PCR, transformation, restriction analysis. Να είναι δυνατή η απομόνωση ssDNA και SDS-containing samples. Να περιλαμβάνει διάλυμα δέσμευσης του DNA με δείκτη Ph για βέλτιστη απόδοση του kit. Να περιλαμβάνει κολόνες, και όλα τα απαραίτητα buffers. Να είναι κατάλληλο και για χρήση με συσκευή κενού (vacuum manifold). Nα διατίθεται σε συσκευασία των 250 καθαρισμών</w:t>
            </w:r>
          </w:p>
        </w:tc>
        <w:tc>
          <w:tcPr>
            <w:tcW w:w="576" w:type="pct"/>
          </w:tcPr>
          <w:p w:rsidR="00744E32" w:rsidRPr="00EA147A" w:rsidRDefault="00744E32" w:rsidP="005B4511">
            <w:pPr>
              <w:spacing w:after="0"/>
              <w:rPr>
                <w:bCs/>
                <w:lang w:val="el-GR"/>
              </w:rPr>
            </w:pPr>
          </w:p>
        </w:tc>
        <w:tc>
          <w:tcPr>
            <w:tcW w:w="614" w:type="pct"/>
          </w:tcPr>
          <w:p w:rsidR="00744E32" w:rsidRPr="00EA147A" w:rsidRDefault="00744E32" w:rsidP="005B4511">
            <w:pPr>
              <w:spacing w:after="0"/>
              <w:rPr>
                <w:bCs/>
                <w:lang w:val="el-GR"/>
              </w:rPr>
            </w:pPr>
          </w:p>
        </w:tc>
        <w:tc>
          <w:tcPr>
            <w:tcW w:w="806" w:type="pct"/>
          </w:tcPr>
          <w:p w:rsidR="00744E32" w:rsidRPr="00EA147A" w:rsidRDefault="00744E32" w:rsidP="005B4511">
            <w:pPr>
              <w:spacing w:after="0"/>
              <w:rPr>
                <w:bCs/>
                <w:lang w:val="el-GR"/>
              </w:rPr>
            </w:pPr>
          </w:p>
        </w:tc>
      </w:tr>
      <w:tr w:rsidR="00744E32" w:rsidRPr="00EA147A" w:rsidTr="005B4511">
        <w:trPr>
          <w:trHeight w:val="1064"/>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t>2</w:t>
            </w:r>
          </w:p>
        </w:tc>
        <w:tc>
          <w:tcPr>
            <w:tcW w:w="2660" w:type="pct"/>
            <w:shd w:val="clear" w:color="auto" w:fill="auto"/>
            <w:vAlign w:val="center"/>
          </w:tcPr>
          <w:p w:rsidR="00744E32" w:rsidRPr="00EA147A" w:rsidRDefault="00744E32" w:rsidP="005B4511">
            <w:pPr>
              <w:spacing w:after="0"/>
              <w:rPr>
                <w:color w:val="000000"/>
                <w:lang w:val="el-GR" w:eastAsia="el-GR"/>
              </w:rPr>
            </w:pPr>
            <w:r w:rsidRPr="00EA147A">
              <w:rPr>
                <w:color w:val="000000"/>
                <w:lang w:val="el-GR" w:eastAsia="el-GR"/>
              </w:rPr>
              <w:t xml:space="preserve">Δείκτης Μοριακού βάρους DNA phiX174 αραιωμένος σε ρυθμιστικό διάλυμα φύλαξης. τα τμήματα DNA να περιέχουν blunt ή sticky ends, ανάλογα με το ένζυμο περιορισμού που χρησιμοποιείται για τη δημιουργεία των δεικτών. Να είναι έτοιμος προς χρήση, να περιέχει 6X DNA Loading Dye για το απευθείας φόρτωμα σε πηκτή αγαρόζης ή πολυακρυλαμιδίου. Να παρέχεται με loading dye για τα δείγματα DNA. Να φυλάσσεται σε θερμοκρασία δωματίου. Σε συσκευασία 50 µg. </w:t>
            </w:r>
          </w:p>
        </w:tc>
        <w:tc>
          <w:tcPr>
            <w:tcW w:w="576" w:type="pct"/>
          </w:tcPr>
          <w:p w:rsidR="00744E32" w:rsidRPr="00EA147A" w:rsidRDefault="00744E32" w:rsidP="005B4511">
            <w:pPr>
              <w:rPr>
                <w:color w:val="000000"/>
                <w:lang w:val="el-GR"/>
              </w:rPr>
            </w:pPr>
          </w:p>
        </w:tc>
        <w:tc>
          <w:tcPr>
            <w:tcW w:w="614" w:type="pct"/>
          </w:tcPr>
          <w:p w:rsidR="00744E32" w:rsidRPr="00EA147A" w:rsidRDefault="00744E32" w:rsidP="005B4511">
            <w:pPr>
              <w:rPr>
                <w:color w:val="000000"/>
                <w:lang w:val="el-GR"/>
              </w:rPr>
            </w:pPr>
          </w:p>
        </w:tc>
        <w:tc>
          <w:tcPr>
            <w:tcW w:w="806" w:type="pct"/>
          </w:tcPr>
          <w:p w:rsidR="00744E32" w:rsidRPr="00EA147A" w:rsidRDefault="00744E32" w:rsidP="005B4511">
            <w:pPr>
              <w:rPr>
                <w:color w:val="000000"/>
                <w:lang w:val="el-GR"/>
              </w:rPr>
            </w:pPr>
          </w:p>
        </w:tc>
      </w:tr>
      <w:tr w:rsidR="00744E32" w:rsidRPr="00EA147A" w:rsidTr="005B4511">
        <w:trPr>
          <w:trHeight w:val="1227"/>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t>3</w:t>
            </w:r>
          </w:p>
        </w:tc>
        <w:tc>
          <w:tcPr>
            <w:tcW w:w="2660" w:type="pct"/>
            <w:shd w:val="clear" w:color="000000" w:fill="FFFFFF"/>
            <w:vAlign w:val="center"/>
          </w:tcPr>
          <w:p w:rsidR="00744E32" w:rsidRPr="00EA147A" w:rsidRDefault="00744E32" w:rsidP="005B4511">
            <w:pPr>
              <w:spacing w:after="0"/>
              <w:rPr>
                <w:color w:val="000000"/>
                <w:lang w:val="el-GR" w:eastAsia="el-GR"/>
              </w:rPr>
            </w:pPr>
            <w:r w:rsidRPr="00EA147A">
              <w:rPr>
                <w:color w:val="000000"/>
                <w:lang w:val="el-GR" w:eastAsia="el-GR"/>
              </w:rPr>
              <w:t xml:space="preserve">Hot start πολυμεράση συγκέντρωσης 5U/μl. Δεσμευμένη με μίγμα ειδικών μονοκλωνικών αντισωμάτων που αναστέλλουν τη δράση της. Το ένζυμο να ενεργοποιείται στην αρχική αποδιάταξη της PCR (αυτόματο Hot-start) και να επιτρέπει να πραγματοποιηθεί η αντίδραση σε θερμοκρασία δωματίου. Nα συνοδεύεται από κατάλληλο 10Χ ρυθμιστικό διάλυμα χωρίς μαγνήσιο, 10Χ ρυθμιστικό διάλυμα με χλωριούχο μαγνήσιο 20mM, ξεχωριστό διάλυμα χλωριούχου </w:t>
            </w:r>
            <w:r w:rsidRPr="00EA147A">
              <w:rPr>
                <w:color w:val="000000"/>
                <w:lang w:val="el-GR" w:eastAsia="el-GR"/>
              </w:rPr>
              <w:lastRenderedPageBreak/>
              <w:t xml:space="preserve">μαγνησίου 25mM, dNTPs, 5x Q-Solution και 10 x CoralLoad PCR Buffer. Είναι κατάλληλη για συμβατική PCR, fast-cycling PCR, σύνθετες γενωμικές περιοχές, πολύπλοκα cDNA και στόχους χαμηλού αριθμού αντιγράφων (π.χ. singlecell PCR). Το ένζυμο να παρέχει υψηλή ειδικότητα και ευαισθησία χωρίς βελτιστοποίηση των συνθηκών της αντίδρασης και να χαρακτηρίζεται από ταχύτατο χρόνο ενεργοποίησης, έως 5 λεπτά. Να περιλαμβάνεται CoralLoad PCR Buffer, το οποίο να περιέχει gel-tracking dyes και να είναι στανταρισμένο σε θερμοκρασία δωματίου, ώστε να βελτιστοποιείται η πορεία της PCR. Επιπλέον, να παρέχεται Q-Solution, ως ενισχυτικό διάλυμα στην περίπτωση δύσκολων templates όπως περιοχές DNA πλούσιες σε GC. Συσκευασία: </w:t>
            </w:r>
            <w:r w:rsidRPr="00EA147A">
              <w:rPr>
                <w:color w:val="000000"/>
                <w:lang w:val="en-US" w:eastAsia="el-GR"/>
              </w:rPr>
              <w:t xml:space="preserve">250 </w:t>
            </w:r>
            <w:r w:rsidRPr="00EA147A">
              <w:rPr>
                <w:color w:val="000000"/>
                <w:lang w:val="el-GR" w:eastAsia="el-GR"/>
              </w:rPr>
              <w:t>αντιδράσεις</w:t>
            </w:r>
          </w:p>
        </w:tc>
        <w:tc>
          <w:tcPr>
            <w:tcW w:w="576" w:type="pct"/>
            <w:shd w:val="clear" w:color="000000" w:fill="FFFFFF"/>
          </w:tcPr>
          <w:p w:rsidR="00744E32" w:rsidRPr="00EA147A" w:rsidRDefault="00744E32" w:rsidP="005B4511">
            <w:pPr>
              <w:spacing w:after="0"/>
              <w:rPr>
                <w:bCs/>
                <w:lang w:val="el-GR"/>
              </w:rPr>
            </w:pPr>
          </w:p>
        </w:tc>
        <w:tc>
          <w:tcPr>
            <w:tcW w:w="614" w:type="pct"/>
            <w:shd w:val="clear" w:color="000000" w:fill="FFFFFF"/>
          </w:tcPr>
          <w:p w:rsidR="00744E32" w:rsidRPr="00EA147A" w:rsidRDefault="00744E32" w:rsidP="005B4511">
            <w:pPr>
              <w:spacing w:after="0"/>
              <w:rPr>
                <w:bCs/>
                <w:lang w:val="el-GR"/>
              </w:rPr>
            </w:pPr>
          </w:p>
        </w:tc>
        <w:tc>
          <w:tcPr>
            <w:tcW w:w="806" w:type="pct"/>
            <w:shd w:val="clear" w:color="000000" w:fill="FFFFFF"/>
          </w:tcPr>
          <w:p w:rsidR="00744E32" w:rsidRPr="00EA147A" w:rsidRDefault="00744E32" w:rsidP="005B4511">
            <w:pPr>
              <w:spacing w:after="0"/>
              <w:rPr>
                <w:bCs/>
                <w:lang w:val="el-GR"/>
              </w:rPr>
            </w:pPr>
          </w:p>
        </w:tc>
      </w:tr>
      <w:tr w:rsidR="00744E32" w:rsidRPr="00EA147A" w:rsidTr="005B4511">
        <w:trPr>
          <w:trHeight w:val="2004"/>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lastRenderedPageBreak/>
              <w:t>4</w:t>
            </w:r>
          </w:p>
        </w:tc>
        <w:tc>
          <w:tcPr>
            <w:tcW w:w="2660" w:type="pct"/>
            <w:shd w:val="clear" w:color="auto" w:fill="auto"/>
            <w:vAlign w:val="center"/>
          </w:tcPr>
          <w:p w:rsidR="00744E32" w:rsidRPr="00EA147A" w:rsidRDefault="00744E32" w:rsidP="005B4511">
            <w:pPr>
              <w:spacing w:after="0"/>
              <w:rPr>
                <w:color w:val="000000"/>
                <w:lang w:val="el-GR" w:eastAsia="el-GR"/>
              </w:rPr>
            </w:pPr>
            <w:r w:rsidRPr="00EA147A">
              <w:rPr>
                <w:color w:val="000000"/>
                <w:lang w:val="el-GR" w:eastAsia="el-GR"/>
              </w:rPr>
              <w:t>Πλήρες Kit για την εφαρμογή One-Step RT-PCR υψηλής ευαισθησίας και ειδικότητας με χρήση hotstart πολυμεράσης. Το</w:t>
            </w:r>
            <w:r w:rsidRPr="00EA147A">
              <w:rPr>
                <w:color w:val="000000"/>
                <w:lang w:val="en-US" w:eastAsia="el-GR"/>
              </w:rPr>
              <w:t xml:space="preserve"> </w:t>
            </w:r>
            <w:r w:rsidRPr="00EA147A">
              <w:rPr>
                <w:color w:val="000000"/>
                <w:lang w:val="el-GR" w:eastAsia="el-GR"/>
              </w:rPr>
              <w:t>κιτ</w:t>
            </w:r>
            <w:r w:rsidRPr="00EA147A">
              <w:rPr>
                <w:color w:val="000000"/>
                <w:lang w:val="en-US" w:eastAsia="el-GR"/>
              </w:rPr>
              <w:t xml:space="preserve"> </w:t>
            </w:r>
            <w:r w:rsidRPr="00EA147A">
              <w:rPr>
                <w:color w:val="000000"/>
                <w:lang w:val="el-GR" w:eastAsia="el-GR"/>
              </w:rPr>
              <w:t>να</w:t>
            </w:r>
            <w:r w:rsidRPr="00EA147A">
              <w:rPr>
                <w:color w:val="000000"/>
                <w:lang w:val="en-US" w:eastAsia="el-GR"/>
              </w:rPr>
              <w:t xml:space="preserve"> </w:t>
            </w:r>
            <w:r w:rsidRPr="00EA147A">
              <w:rPr>
                <w:color w:val="000000"/>
                <w:lang w:val="el-GR" w:eastAsia="el-GR"/>
              </w:rPr>
              <w:t>περιλαμβάνει</w:t>
            </w:r>
            <w:r w:rsidRPr="00EA147A">
              <w:rPr>
                <w:color w:val="000000"/>
                <w:lang w:val="en-US" w:eastAsia="el-GR"/>
              </w:rPr>
              <w:t xml:space="preserve">: OneStep RT-PCR Enzyme Mix (blend of Omniscript, Sensiscript Reverse Transcriptase, &amp; HotStarTaq DNA Polymerase), 5x RT-PCR Buffer, dNTP Mix, Rnase-free water, 5x Q-solution. </w:t>
            </w:r>
            <w:r w:rsidRPr="00EA147A">
              <w:rPr>
                <w:color w:val="000000"/>
                <w:lang w:val="el-GR" w:eastAsia="el-GR"/>
              </w:rPr>
              <w:t xml:space="preserve">Ο συνδυασμός των τριών ενζύμων του kit να εξασφαλίζει: την υψηλή ειδικότητα και απόδοση της αντίδρασης (όπως σε περιπτώσεις templates με δύσκολες δευτεροταγείς δομές) και την απαιτούμενη μεγάλη ευαισθησία όταν χρησιμοποιείται απειροελάχιστη ποσότητα RNA (από 1pg – 2μg). Κατάλληλο για εφαρμογές όπως, ανάλυση γονιδιακής έκφρασης, ανίχνευση ιϊκού γενετικού υλικού, RT-PCR μοναδιαίου κυττάρου (Single-cell RT-PCR). Συσκευασία: </w:t>
            </w:r>
            <w:r w:rsidRPr="00EA147A">
              <w:rPr>
                <w:color w:val="000000"/>
                <w:lang w:val="en-US" w:eastAsia="el-GR"/>
              </w:rPr>
              <w:t xml:space="preserve">100 </w:t>
            </w:r>
            <w:r w:rsidRPr="00EA147A">
              <w:rPr>
                <w:color w:val="000000"/>
                <w:lang w:val="el-GR" w:eastAsia="el-GR"/>
              </w:rPr>
              <w:t>αντιδράσεις</w:t>
            </w:r>
          </w:p>
        </w:tc>
        <w:tc>
          <w:tcPr>
            <w:tcW w:w="576" w:type="pct"/>
          </w:tcPr>
          <w:p w:rsidR="00744E32" w:rsidRPr="00EA147A" w:rsidRDefault="00744E32" w:rsidP="005B4511">
            <w:pPr>
              <w:rPr>
                <w:color w:val="000000"/>
                <w:lang w:val="el-GR"/>
              </w:rPr>
            </w:pPr>
          </w:p>
        </w:tc>
        <w:tc>
          <w:tcPr>
            <w:tcW w:w="614" w:type="pct"/>
          </w:tcPr>
          <w:p w:rsidR="00744E32" w:rsidRPr="00EA147A" w:rsidRDefault="00744E32" w:rsidP="005B4511">
            <w:pPr>
              <w:rPr>
                <w:color w:val="000000"/>
                <w:lang w:val="el-GR"/>
              </w:rPr>
            </w:pPr>
          </w:p>
        </w:tc>
        <w:tc>
          <w:tcPr>
            <w:tcW w:w="806" w:type="pct"/>
          </w:tcPr>
          <w:p w:rsidR="00744E32" w:rsidRPr="00EA147A" w:rsidRDefault="00744E32" w:rsidP="005B4511">
            <w:pPr>
              <w:rPr>
                <w:color w:val="000000"/>
                <w:lang w:val="el-GR"/>
              </w:rPr>
            </w:pPr>
          </w:p>
        </w:tc>
      </w:tr>
      <w:tr w:rsidR="00744E32" w:rsidRPr="00EA147A" w:rsidTr="005B4511">
        <w:trPr>
          <w:trHeight w:val="2117"/>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t>5</w:t>
            </w:r>
          </w:p>
        </w:tc>
        <w:tc>
          <w:tcPr>
            <w:tcW w:w="2660" w:type="pct"/>
            <w:shd w:val="clear" w:color="auto" w:fill="auto"/>
            <w:vAlign w:val="center"/>
          </w:tcPr>
          <w:p w:rsidR="00744E32" w:rsidRPr="00EA147A" w:rsidRDefault="00744E32" w:rsidP="005B4511">
            <w:pPr>
              <w:spacing w:after="0"/>
              <w:rPr>
                <w:color w:val="000000"/>
                <w:lang w:val="en-US" w:eastAsia="el-GR"/>
              </w:rPr>
            </w:pPr>
            <w:r w:rsidRPr="00EA147A">
              <w:rPr>
                <w:color w:val="000000"/>
                <w:lang w:val="el-GR" w:eastAsia="el-GR"/>
              </w:rPr>
              <w:t>Ανασυνδυασμένος αναστολέας ριβονουκλεασών. Αποτελεί όξινη πρωτεϊνη με μοριακό βάρος 52kDa και αναστέλλει RNaseA, RNaseB και RNaseC. Καθαρισμένο με χρωματογραφία συγγένειας από Ε</w:t>
            </w:r>
            <w:r w:rsidRPr="00EA147A">
              <w:rPr>
                <w:i/>
                <w:iCs/>
                <w:color w:val="000000"/>
                <w:lang w:val="el-GR" w:eastAsia="el-GR"/>
              </w:rPr>
              <w:t>.coli που εκφράζει κλωνοποιημένο γονίδιο από χοίρο.</w:t>
            </w:r>
            <w:r w:rsidRPr="00EA147A">
              <w:rPr>
                <w:color w:val="000000"/>
                <w:lang w:val="el-GR" w:eastAsia="el-GR"/>
              </w:rPr>
              <w:t xml:space="preserve"> Μία μονάδα αναστέλλει τη δράση 5 ngRNaseA στο 50% χρησιμοποιώντας ως υπόστρωμα cCMP (cytidine 2´, 3´ cyclicmonophosphate). Να χρησιμοποιείται για τη σύνθεση cDNA , RT-PCR, και για την vitro μεταγραφή και μετάφραση. Δοκιμές απόδοσης και ποιότητας: Καθαρότητα SDS-PAGE, δοκιμασία ενδοδεοξυριβονουκλεάσης, συγκέντρωση πρωτεΐνης, ειδική δραστικότητα, απόδοση να έχει </w:t>
            </w:r>
            <w:r w:rsidRPr="00EA147A">
              <w:rPr>
                <w:color w:val="000000"/>
                <w:lang w:val="el-GR" w:eastAsia="el-GR"/>
              </w:rPr>
              <w:lastRenderedPageBreak/>
              <w:t>εκτιμηθεί με RT-PCR. Συνθήκες</w:t>
            </w:r>
            <w:r w:rsidRPr="00EA147A">
              <w:rPr>
                <w:color w:val="000000"/>
                <w:lang w:val="en-US" w:eastAsia="el-GR"/>
              </w:rPr>
              <w:t xml:space="preserve"> </w:t>
            </w:r>
            <w:r w:rsidRPr="00EA147A">
              <w:rPr>
                <w:color w:val="000000"/>
                <w:lang w:val="el-GR" w:eastAsia="el-GR"/>
              </w:rPr>
              <w:t>αντίδρασης</w:t>
            </w:r>
            <w:r w:rsidRPr="00EA147A">
              <w:rPr>
                <w:color w:val="000000"/>
                <w:lang w:val="en-US" w:eastAsia="el-GR"/>
              </w:rPr>
              <w:t xml:space="preserve"> </w:t>
            </w:r>
            <w:r w:rsidRPr="00EA147A">
              <w:rPr>
                <w:color w:val="000000"/>
                <w:lang w:val="el-GR" w:eastAsia="el-GR"/>
              </w:rPr>
              <w:t>μονάδας</w:t>
            </w:r>
            <w:r w:rsidRPr="00EA147A">
              <w:rPr>
                <w:color w:val="000000"/>
                <w:lang w:val="en-US" w:eastAsia="el-GR"/>
              </w:rPr>
              <w:t xml:space="preserve">: 100 mM Tris-acetate (pH 6.5), 1 mM EDTA, 0.2 mM cCMP, 2 µg RNase A in 1 mL from 0 to 10 min at 25°C. </w:t>
            </w:r>
            <w:r w:rsidRPr="00EA147A">
              <w:rPr>
                <w:color w:val="000000"/>
                <w:lang w:val="el-GR" w:eastAsia="el-GR"/>
              </w:rPr>
              <w:t>Συσκευασία</w:t>
            </w:r>
            <w:r w:rsidRPr="00EA147A">
              <w:rPr>
                <w:color w:val="000000"/>
                <w:lang w:val="en-US" w:eastAsia="el-GR"/>
              </w:rPr>
              <w:t xml:space="preserve"> 5,000 units. </w:t>
            </w:r>
          </w:p>
        </w:tc>
        <w:tc>
          <w:tcPr>
            <w:tcW w:w="576" w:type="pct"/>
          </w:tcPr>
          <w:p w:rsidR="00744E32" w:rsidRPr="00EA147A" w:rsidRDefault="00744E32" w:rsidP="005B4511">
            <w:pPr>
              <w:rPr>
                <w:color w:val="000000"/>
                <w:lang w:val="en-US"/>
              </w:rPr>
            </w:pPr>
          </w:p>
        </w:tc>
        <w:tc>
          <w:tcPr>
            <w:tcW w:w="614" w:type="pct"/>
          </w:tcPr>
          <w:p w:rsidR="00744E32" w:rsidRPr="00EA147A" w:rsidRDefault="00744E32" w:rsidP="005B4511">
            <w:pPr>
              <w:rPr>
                <w:color w:val="000000"/>
                <w:lang w:val="en-US"/>
              </w:rPr>
            </w:pPr>
          </w:p>
        </w:tc>
        <w:tc>
          <w:tcPr>
            <w:tcW w:w="806" w:type="pct"/>
          </w:tcPr>
          <w:p w:rsidR="00744E32" w:rsidRPr="00EA147A" w:rsidRDefault="00744E32" w:rsidP="005B4511">
            <w:pPr>
              <w:rPr>
                <w:color w:val="000000"/>
                <w:lang w:val="en-US"/>
              </w:rPr>
            </w:pPr>
          </w:p>
        </w:tc>
      </w:tr>
      <w:tr w:rsidR="00744E32" w:rsidRPr="00EA147A" w:rsidTr="005B4511">
        <w:trPr>
          <w:trHeight w:val="1074"/>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lastRenderedPageBreak/>
              <w:t>6</w:t>
            </w:r>
          </w:p>
        </w:tc>
        <w:tc>
          <w:tcPr>
            <w:tcW w:w="2660" w:type="pct"/>
            <w:shd w:val="clear" w:color="auto" w:fill="auto"/>
            <w:vAlign w:val="center"/>
          </w:tcPr>
          <w:p w:rsidR="00744E32" w:rsidRPr="00EA147A" w:rsidRDefault="00744E32" w:rsidP="005B4511">
            <w:pPr>
              <w:spacing w:after="0"/>
              <w:rPr>
                <w:color w:val="000000"/>
                <w:lang w:val="el-GR" w:eastAsia="el-GR"/>
              </w:rPr>
            </w:pPr>
            <w:r w:rsidRPr="00EA147A">
              <w:rPr>
                <w:color w:val="000000"/>
                <w:lang w:val="el-GR" w:eastAsia="el-GR"/>
              </w:rPr>
              <w:t xml:space="preserve">100mM dNTPs set. Να περιέχει από 100 mM από τα dATP, dCTP, dGTP, και dTTP. Κάθε φιαλίδιο να περιέχει 250 µL (25 µmol) dNTP σε υπερκάθαρο νερό. </w:t>
            </w:r>
          </w:p>
        </w:tc>
        <w:tc>
          <w:tcPr>
            <w:tcW w:w="576" w:type="pct"/>
          </w:tcPr>
          <w:p w:rsidR="00744E32" w:rsidRPr="00EA147A" w:rsidRDefault="00744E32" w:rsidP="005B4511">
            <w:pPr>
              <w:rPr>
                <w:color w:val="000000"/>
                <w:lang w:val="el-GR"/>
              </w:rPr>
            </w:pPr>
          </w:p>
        </w:tc>
        <w:tc>
          <w:tcPr>
            <w:tcW w:w="614" w:type="pct"/>
          </w:tcPr>
          <w:p w:rsidR="00744E32" w:rsidRPr="00EA147A" w:rsidRDefault="00744E32" w:rsidP="005B4511">
            <w:pPr>
              <w:rPr>
                <w:color w:val="000000"/>
                <w:lang w:val="el-GR"/>
              </w:rPr>
            </w:pPr>
          </w:p>
        </w:tc>
        <w:tc>
          <w:tcPr>
            <w:tcW w:w="806" w:type="pct"/>
          </w:tcPr>
          <w:p w:rsidR="00744E32" w:rsidRPr="00EA147A" w:rsidRDefault="00744E32" w:rsidP="005B4511">
            <w:pPr>
              <w:rPr>
                <w:color w:val="000000"/>
                <w:lang w:val="el-GR"/>
              </w:rPr>
            </w:pPr>
          </w:p>
        </w:tc>
      </w:tr>
      <w:tr w:rsidR="00744E32" w:rsidRPr="00EA147A" w:rsidTr="005B4511">
        <w:trPr>
          <w:trHeight w:val="1560"/>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t>7</w:t>
            </w:r>
          </w:p>
        </w:tc>
        <w:tc>
          <w:tcPr>
            <w:tcW w:w="2660" w:type="pct"/>
            <w:shd w:val="clear" w:color="auto" w:fill="auto"/>
            <w:vAlign w:val="center"/>
          </w:tcPr>
          <w:p w:rsidR="00744E32" w:rsidRPr="00EA147A" w:rsidRDefault="00744E32" w:rsidP="005B4511">
            <w:pPr>
              <w:spacing w:after="0"/>
              <w:rPr>
                <w:color w:val="000000"/>
                <w:lang w:val="el-GR" w:eastAsia="el-GR"/>
              </w:rPr>
            </w:pPr>
            <w:r w:rsidRPr="00EA147A">
              <w:rPr>
                <w:color w:val="000000"/>
                <w:lang w:val="el-GR" w:eastAsia="el-GR"/>
              </w:rPr>
              <w:t xml:space="preserve">Λυοφιλοποιημένος εκκινητής με εξαμερές δεοξυριβονουκλεοτιδικό μίγμα με τυχαία αλληλουχία (πιθανές 46 αλληλουχίες) και φωσφορυλιωμένο στο 5’ άκρο. Καθαρότητα πιστοποιημένη με μέθοδο HPLC. RANDOM PRIMERS,1.5MM 100 UL. Σε συγκέντρωση 3 µg/µL σε 3 mM Tris-HCl (pH 7.0), 0.2 mM EDTA. Συσκευασία 9 A260 units. </w:t>
            </w:r>
          </w:p>
        </w:tc>
        <w:tc>
          <w:tcPr>
            <w:tcW w:w="576" w:type="pct"/>
          </w:tcPr>
          <w:p w:rsidR="00744E32" w:rsidRPr="00EA147A" w:rsidRDefault="00744E32" w:rsidP="005B4511">
            <w:pPr>
              <w:rPr>
                <w:color w:val="000000"/>
              </w:rPr>
            </w:pPr>
          </w:p>
        </w:tc>
        <w:tc>
          <w:tcPr>
            <w:tcW w:w="614" w:type="pct"/>
          </w:tcPr>
          <w:p w:rsidR="00744E32" w:rsidRPr="00EA147A" w:rsidRDefault="00744E32" w:rsidP="005B4511">
            <w:pPr>
              <w:rPr>
                <w:color w:val="000000"/>
              </w:rPr>
            </w:pPr>
          </w:p>
        </w:tc>
        <w:tc>
          <w:tcPr>
            <w:tcW w:w="806" w:type="pct"/>
          </w:tcPr>
          <w:p w:rsidR="00744E32" w:rsidRPr="00EA147A" w:rsidRDefault="00744E32" w:rsidP="005B4511">
            <w:pPr>
              <w:rPr>
                <w:color w:val="000000"/>
              </w:rPr>
            </w:pPr>
          </w:p>
        </w:tc>
      </w:tr>
      <w:tr w:rsidR="00744E32" w:rsidRPr="00EA147A" w:rsidTr="005B4511">
        <w:trPr>
          <w:trHeight w:val="683"/>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t>8</w:t>
            </w:r>
          </w:p>
        </w:tc>
        <w:tc>
          <w:tcPr>
            <w:tcW w:w="2660" w:type="pct"/>
            <w:shd w:val="clear" w:color="auto" w:fill="auto"/>
            <w:vAlign w:val="center"/>
          </w:tcPr>
          <w:p w:rsidR="00744E32" w:rsidRPr="00EA147A" w:rsidRDefault="00744E32" w:rsidP="005B4511">
            <w:pPr>
              <w:spacing w:after="0"/>
              <w:rPr>
                <w:color w:val="000000"/>
                <w:lang w:val="el-GR" w:eastAsia="el-GR"/>
              </w:rPr>
            </w:pPr>
            <w:r w:rsidRPr="00EA147A">
              <w:rPr>
                <w:color w:val="000000"/>
                <w:lang w:val="el-GR" w:eastAsia="el-GR"/>
              </w:rPr>
              <w:t xml:space="preserve">Συνθετικά ολιγονουκλεοτίδια ανιχνευτές τεχνολογίας Taqman, καθαρισμένα με HPLC και ειδικά τροποποιημένα για χρήση σε αντιδράσεις Real-time PCR. Στην τιμή κάθε συσκευασίας να συμπεριλαμβάνεται το μήκος σύνθεσης του ολιγονουκλεοτιδίου (15-40 βάσεις), ο καθαρισμός (HPLC), η σήμανση στο 5’ άκρο με Cy3 ή Cy5 ή FAM ή HEX ή JOE ή Texas Red ή VIC, στο 3’ άκρο με BHQ-1 ή BHQ-2 ή BHQ-3. Να υπάρχει η δυνατότητα σύνθεσης ανιχνευτών νέας τεχνολογίας MGB. Συσκευασία: των 6.000 pmol. </w:t>
            </w:r>
          </w:p>
        </w:tc>
        <w:tc>
          <w:tcPr>
            <w:tcW w:w="576" w:type="pct"/>
          </w:tcPr>
          <w:p w:rsidR="00744E32" w:rsidRPr="00EA147A" w:rsidRDefault="00744E32" w:rsidP="005B4511">
            <w:pPr>
              <w:rPr>
                <w:color w:val="000000"/>
                <w:lang w:val="el-GR"/>
              </w:rPr>
            </w:pPr>
          </w:p>
        </w:tc>
        <w:tc>
          <w:tcPr>
            <w:tcW w:w="614" w:type="pct"/>
          </w:tcPr>
          <w:p w:rsidR="00744E32" w:rsidRPr="00EA147A" w:rsidRDefault="00744E32" w:rsidP="005B4511">
            <w:pPr>
              <w:rPr>
                <w:color w:val="000000"/>
                <w:lang w:val="el-GR"/>
              </w:rPr>
            </w:pPr>
          </w:p>
        </w:tc>
        <w:tc>
          <w:tcPr>
            <w:tcW w:w="806" w:type="pct"/>
          </w:tcPr>
          <w:p w:rsidR="00744E32" w:rsidRPr="00EA147A" w:rsidRDefault="00744E32" w:rsidP="005B4511">
            <w:pPr>
              <w:rPr>
                <w:color w:val="000000"/>
                <w:lang w:val="el-GR"/>
              </w:rPr>
            </w:pPr>
          </w:p>
        </w:tc>
      </w:tr>
      <w:tr w:rsidR="00744E32" w:rsidRPr="00EA147A" w:rsidTr="005B4511">
        <w:trPr>
          <w:trHeight w:val="683"/>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t>9</w:t>
            </w:r>
          </w:p>
        </w:tc>
        <w:tc>
          <w:tcPr>
            <w:tcW w:w="2660" w:type="pct"/>
            <w:tcBorders>
              <w:top w:val="single" w:sz="4" w:space="0" w:color="auto"/>
              <w:left w:val="single" w:sz="4" w:space="0" w:color="auto"/>
              <w:bottom w:val="single" w:sz="4" w:space="0" w:color="auto"/>
              <w:right w:val="single" w:sz="4" w:space="0" w:color="auto"/>
            </w:tcBorders>
            <w:shd w:val="clear" w:color="auto" w:fill="auto"/>
            <w:vAlign w:val="center"/>
          </w:tcPr>
          <w:p w:rsidR="00744E32" w:rsidRPr="00EA147A" w:rsidRDefault="00744E32" w:rsidP="005B4511">
            <w:pPr>
              <w:spacing w:after="0"/>
              <w:rPr>
                <w:color w:val="000000"/>
                <w:lang w:val="el-GR" w:eastAsia="el-GR"/>
              </w:rPr>
            </w:pPr>
            <w:r w:rsidRPr="00EA147A">
              <w:rPr>
                <w:color w:val="000000"/>
                <w:lang w:val="el-GR" w:eastAsia="el-GR"/>
              </w:rPr>
              <w:t xml:space="preserve">Θερμοσταθερή Taq DNA Polymeraseγια τη σύνθεση DNA από μονόκλωνα templates παρουσία dNTPs και εκκινητή. Το ένζυμο να αποτελείται από ένα απλό πολυπεπτίδιο μοριακού βάρους 94 kDa. να έχει δραστικότητα DNA πολυμεράσης 5´→3´ και δραστικότητα 5´→3´ exonuclease. Να είναι κατάλληλη προς χρήση για τον πολλαπλασιασμό πολύπλοκου γενωμικού, ιικού DNA πλασμιδίων, RT-PCR, sequencing ssDNA, και cycle sequencing. Να περιέχει: 100 µl Taq DNA Polymerase (5 U/µl), 2.5 ml 10X PCR buffer (200 mM Tris-HCl pH 8.4, 500 mM KCl), 1 ml Magnesium Chloride (50 mM) Σε συσκευασία 500 units. </w:t>
            </w:r>
          </w:p>
        </w:tc>
        <w:tc>
          <w:tcPr>
            <w:tcW w:w="576"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c>
          <w:tcPr>
            <w:tcW w:w="614"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c>
          <w:tcPr>
            <w:tcW w:w="806"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r>
      <w:tr w:rsidR="00744E32" w:rsidRPr="00EA147A" w:rsidTr="005B4511">
        <w:trPr>
          <w:trHeight w:val="1505"/>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lastRenderedPageBreak/>
              <w:t>10</w:t>
            </w:r>
          </w:p>
        </w:tc>
        <w:tc>
          <w:tcPr>
            <w:tcW w:w="2660" w:type="pct"/>
            <w:shd w:val="clear" w:color="auto" w:fill="auto"/>
            <w:vAlign w:val="center"/>
          </w:tcPr>
          <w:p w:rsidR="00744E32" w:rsidRPr="00EA147A" w:rsidRDefault="00744E32" w:rsidP="005B4511">
            <w:pPr>
              <w:spacing w:after="0"/>
              <w:rPr>
                <w:color w:val="000000"/>
                <w:lang w:val="el-GR" w:eastAsia="el-GR"/>
              </w:rPr>
            </w:pPr>
            <w:r w:rsidRPr="00EA147A">
              <w:rPr>
                <w:color w:val="000000"/>
                <w:lang w:val="el-GR" w:eastAsia="el-GR"/>
              </w:rPr>
              <w:t>Μείγμα hot-start πολυμεράσης 2Χ που περιέχει 6mM MgCl2, 2mM dNTPs, ενισχυτές και σταθεροποιητές της αντίδρασης PCR. Aντισώματα αναστέλλουν τη δραστικότητα της πολυμεράσης μέχρι το αρχικό στάδιο ενεργοποίησης στους 95° C, εμποδίζοντας το σχηματισμό διμερών εκκινητών (primer dimers) και μη ειδικών προϊόντων, δίνοντας βελτιωμένη ειδικότητα και ευαισθησία σε σύγκριση με άλλες μεθόδους. Κατάλληλο για την ανίχνευση πολύ λίγων αντιγράφων της αλληλουχίας στόχου (low copy number detection). Η Hot start πολυμεράση είναι ικανή για τον πολλαπλασιασμό τμημάτων έως και 6 kb. Το ΗS Taq Mix έχει ποσοστό σφάλματος (error rate) 1 λάθος βάση ανά 2.0 x 105 νουκλεοτίδια που ενσωματώνονται. Για ευκαρυωτικό DNA απαιτείται αρχική ποσότητα υλικού (template) μεταξύ 5ng και 500ng ανά αντίδραση, για cDNA κάτω από 100ng για κάθε αντίδραση. Τα προϊόντα PCR που παράγονται με το μίγμα διαθέτουν Α-άκρα (A-tailed) και μπορούν να ενσωματωθούν σε TA cloning vectors. Κατάλληλο</w:t>
            </w:r>
            <w:r w:rsidRPr="00EA147A">
              <w:rPr>
                <w:color w:val="000000"/>
                <w:lang w:val="en-US" w:eastAsia="el-GR"/>
              </w:rPr>
              <w:t xml:space="preserve"> </w:t>
            </w:r>
            <w:r w:rsidRPr="00EA147A">
              <w:rPr>
                <w:color w:val="000000"/>
                <w:lang w:val="el-GR" w:eastAsia="el-GR"/>
              </w:rPr>
              <w:t>για</w:t>
            </w:r>
            <w:r w:rsidRPr="00EA147A">
              <w:rPr>
                <w:color w:val="000000"/>
                <w:lang w:val="en-US" w:eastAsia="el-GR"/>
              </w:rPr>
              <w:t xml:space="preserve"> • Genotyping • High-throughput PCR • Standard and fast PCR • Routine and multiplex PCR • TA cloning • Inhibitor tolerant PCR direct from bacterial culture, blood and urine • Colony PCR • ‘Difficult’ PCR - GC and AT-rich DNA from GC-rich and AT-rich templates, under fast and standard cycling conditions. </w:t>
            </w:r>
            <w:r w:rsidRPr="00EA147A">
              <w:rPr>
                <w:color w:val="000000"/>
                <w:lang w:val="el-GR" w:eastAsia="el-GR"/>
              </w:rPr>
              <w:t>Σταθερό στους 25°C και 37°C για 4 εβδομάδες</w:t>
            </w:r>
          </w:p>
        </w:tc>
        <w:tc>
          <w:tcPr>
            <w:tcW w:w="576" w:type="pct"/>
          </w:tcPr>
          <w:p w:rsidR="00744E32" w:rsidRPr="00EA147A" w:rsidRDefault="00744E32" w:rsidP="005B4511">
            <w:pPr>
              <w:spacing w:after="0"/>
              <w:rPr>
                <w:color w:val="000000"/>
                <w:lang w:val="el-GR"/>
              </w:rPr>
            </w:pPr>
          </w:p>
        </w:tc>
        <w:tc>
          <w:tcPr>
            <w:tcW w:w="614" w:type="pct"/>
          </w:tcPr>
          <w:p w:rsidR="00744E32" w:rsidRPr="00EA147A" w:rsidRDefault="00744E32" w:rsidP="005B4511">
            <w:pPr>
              <w:spacing w:after="0"/>
              <w:rPr>
                <w:color w:val="000000"/>
                <w:lang w:val="el-GR"/>
              </w:rPr>
            </w:pPr>
          </w:p>
        </w:tc>
        <w:tc>
          <w:tcPr>
            <w:tcW w:w="806" w:type="pct"/>
          </w:tcPr>
          <w:p w:rsidR="00744E32" w:rsidRPr="00EA147A" w:rsidRDefault="00744E32" w:rsidP="005B4511">
            <w:pPr>
              <w:spacing w:after="0"/>
              <w:rPr>
                <w:color w:val="000000"/>
                <w:lang w:val="el-GR"/>
              </w:rPr>
            </w:pPr>
          </w:p>
        </w:tc>
      </w:tr>
      <w:tr w:rsidR="00744E32" w:rsidRPr="00EA147A" w:rsidTr="005B4511">
        <w:trPr>
          <w:trHeight w:val="2943"/>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t>11</w:t>
            </w:r>
          </w:p>
        </w:tc>
        <w:tc>
          <w:tcPr>
            <w:tcW w:w="2660" w:type="pct"/>
            <w:shd w:val="clear" w:color="auto" w:fill="auto"/>
            <w:vAlign w:val="center"/>
          </w:tcPr>
          <w:p w:rsidR="00744E32" w:rsidRPr="00EA147A" w:rsidRDefault="00744E32" w:rsidP="005B4511">
            <w:pPr>
              <w:rPr>
                <w:color w:val="000000"/>
                <w:lang w:val="en-US" w:eastAsia="el-GR"/>
              </w:rPr>
            </w:pPr>
            <w:r w:rsidRPr="00EA147A">
              <w:rPr>
                <w:rFonts w:eastAsia="Calibri"/>
                <w:lang w:val="en-US"/>
              </w:rPr>
              <w:t xml:space="preserve">DMEM (HG) W/NA PYR (CE). </w:t>
            </w:r>
            <w:r w:rsidRPr="00EA147A">
              <w:rPr>
                <w:rFonts w:eastAsia="Calibri"/>
                <w:lang w:val="el-GR"/>
              </w:rPr>
              <w:t xml:space="preserve">Για χρήση </w:t>
            </w:r>
            <w:r w:rsidRPr="00EA147A">
              <w:rPr>
                <w:rFonts w:eastAsia="Calibri"/>
                <w:lang w:val="en-US"/>
              </w:rPr>
              <w:t>in</w:t>
            </w:r>
            <w:r w:rsidRPr="00EA147A">
              <w:rPr>
                <w:rFonts w:eastAsia="Calibri"/>
                <w:lang w:val="el-GR"/>
              </w:rPr>
              <w:t xml:space="preserve"> </w:t>
            </w:r>
            <w:r w:rsidRPr="00EA147A">
              <w:rPr>
                <w:rFonts w:eastAsia="Calibri"/>
                <w:lang w:val="en-US"/>
              </w:rPr>
              <w:t>vitro</w:t>
            </w:r>
            <w:r w:rsidRPr="00EA147A">
              <w:rPr>
                <w:rFonts w:eastAsia="Calibri"/>
                <w:lang w:val="el-GR"/>
              </w:rPr>
              <w:t xml:space="preserve"> </w:t>
            </w:r>
            <w:r w:rsidRPr="00EA147A">
              <w:rPr>
                <w:rFonts w:eastAsia="Calibri"/>
                <w:lang w:val="en-US"/>
              </w:rPr>
              <w:t>Diagnostic</w:t>
            </w:r>
            <w:r w:rsidRPr="00EA147A">
              <w:rPr>
                <w:rFonts w:eastAsia="Calibri"/>
                <w:lang w:val="el-GR"/>
              </w:rPr>
              <w:t xml:space="preserve"> (σχετικό πιστοποιητικό να επισυνάπτεται). </w:t>
            </w:r>
            <w:r w:rsidRPr="00EA147A">
              <w:rPr>
                <w:rFonts w:eastAsia="Calibri"/>
                <w:lang w:val="en-US"/>
              </w:rPr>
              <w:t>Glutamine</w:t>
            </w:r>
            <w:r w:rsidRPr="00744E32">
              <w:rPr>
                <w:rFonts w:eastAsia="Calibri"/>
              </w:rPr>
              <w:t xml:space="preserve">: </w:t>
            </w:r>
            <w:r w:rsidRPr="00EA147A">
              <w:rPr>
                <w:rFonts w:eastAsia="Calibri"/>
                <w:lang w:val="en-US"/>
              </w:rPr>
              <w:t>L</w:t>
            </w:r>
            <w:r w:rsidRPr="00744E32">
              <w:rPr>
                <w:rFonts w:eastAsia="Calibri"/>
              </w:rPr>
              <w:t>-</w:t>
            </w:r>
            <w:r w:rsidRPr="00EA147A">
              <w:rPr>
                <w:rFonts w:eastAsia="Calibri"/>
                <w:lang w:val="en-US"/>
              </w:rPr>
              <w:t>Glutamine</w:t>
            </w:r>
            <w:r w:rsidRPr="00744E32">
              <w:rPr>
                <w:rFonts w:eastAsia="Calibri"/>
              </w:rPr>
              <w:t xml:space="preserve">. </w:t>
            </w:r>
            <w:r w:rsidRPr="00EA147A">
              <w:rPr>
                <w:rFonts w:eastAsia="Calibri"/>
                <w:lang w:val="en-US"/>
              </w:rPr>
              <w:t>Phenol</w:t>
            </w:r>
            <w:r w:rsidRPr="00744E32">
              <w:rPr>
                <w:rFonts w:eastAsia="Calibri"/>
              </w:rPr>
              <w:t xml:space="preserve"> </w:t>
            </w:r>
            <w:r w:rsidRPr="00EA147A">
              <w:rPr>
                <w:rFonts w:eastAsia="Calibri"/>
                <w:lang w:val="en-US"/>
              </w:rPr>
              <w:t>Red</w:t>
            </w:r>
            <w:r w:rsidRPr="00744E32">
              <w:rPr>
                <w:rFonts w:eastAsia="Calibri"/>
              </w:rPr>
              <w:t xml:space="preserve"> </w:t>
            </w:r>
            <w:r w:rsidRPr="00EA147A">
              <w:rPr>
                <w:rFonts w:eastAsia="Calibri"/>
                <w:lang w:val="en-US"/>
              </w:rPr>
              <w:t>Indicator</w:t>
            </w:r>
            <w:r w:rsidRPr="00744E32">
              <w:rPr>
                <w:rFonts w:eastAsia="Calibri"/>
              </w:rPr>
              <w:t xml:space="preserve">: </w:t>
            </w:r>
            <w:r w:rsidRPr="00EA147A">
              <w:rPr>
                <w:rFonts w:eastAsia="Calibri"/>
                <w:lang w:val="en-US"/>
              </w:rPr>
              <w:t>Phenol</w:t>
            </w:r>
            <w:r w:rsidRPr="00744E32">
              <w:rPr>
                <w:rFonts w:eastAsia="Calibri"/>
              </w:rPr>
              <w:t xml:space="preserve"> </w:t>
            </w:r>
            <w:r w:rsidRPr="00EA147A">
              <w:rPr>
                <w:rFonts w:eastAsia="Calibri"/>
                <w:lang w:val="en-US"/>
              </w:rPr>
              <w:t>Red</w:t>
            </w:r>
            <w:r w:rsidRPr="00744E32">
              <w:rPr>
                <w:rFonts w:eastAsia="Calibri"/>
              </w:rPr>
              <w:t xml:space="preserve">. </w:t>
            </w:r>
            <w:r w:rsidRPr="00EA147A">
              <w:rPr>
                <w:rFonts w:eastAsia="Calibri"/>
                <w:lang w:val="el-GR"/>
              </w:rPr>
              <w:t>Μορφή</w:t>
            </w:r>
            <w:r w:rsidRPr="00744E32">
              <w:rPr>
                <w:rFonts w:eastAsia="Calibri"/>
              </w:rPr>
              <w:t xml:space="preserve">: </w:t>
            </w:r>
            <w:r w:rsidRPr="00EA147A">
              <w:rPr>
                <w:rFonts w:eastAsia="Calibri"/>
                <w:lang w:val="el-GR"/>
              </w:rPr>
              <w:t>Υγρή</w:t>
            </w:r>
            <w:r w:rsidRPr="00744E32">
              <w:rPr>
                <w:rFonts w:eastAsia="Calibri"/>
              </w:rPr>
              <w:t xml:space="preserve">. </w:t>
            </w:r>
            <w:r w:rsidRPr="00EA147A">
              <w:rPr>
                <w:rFonts w:eastAsia="Calibri"/>
                <w:lang w:val="el-GR"/>
              </w:rPr>
              <w:t>Γλυκόζη</w:t>
            </w:r>
            <w:r w:rsidRPr="00744E32">
              <w:rPr>
                <w:rFonts w:eastAsia="Calibri"/>
              </w:rPr>
              <w:t xml:space="preserve">: </w:t>
            </w:r>
            <w:r w:rsidRPr="00EA147A">
              <w:rPr>
                <w:rFonts w:eastAsia="Calibri"/>
                <w:lang w:val="el-GR"/>
              </w:rPr>
              <w:t>Υψηλή</w:t>
            </w:r>
            <w:r w:rsidRPr="00744E32">
              <w:rPr>
                <w:rFonts w:eastAsia="Calibri"/>
              </w:rPr>
              <w:t xml:space="preserve"> </w:t>
            </w:r>
            <w:r w:rsidRPr="00EA147A">
              <w:rPr>
                <w:rFonts w:eastAsia="Calibri"/>
                <w:lang w:val="el-GR"/>
              </w:rPr>
              <w:t>συγκέντρωση</w:t>
            </w:r>
            <w:r w:rsidRPr="00744E32">
              <w:rPr>
                <w:rFonts w:eastAsia="Calibri"/>
              </w:rPr>
              <w:t xml:space="preserve"> (4500 </w:t>
            </w:r>
            <w:r w:rsidRPr="00EA147A">
              <w:rPr>
                <w:rFonts w:eastAsia="Calibri"/>
                <w:lang w:val="en-US"/>
              </w:rPr>
              <w:t>mg</w:t>
            </w:r>
            <w:r w:rsidRPr="00744E32">
              <w:rPr>
                <w:rFonts w:eastAsia="Calibri"/>
              </w:rPr>
              <w:t>/</w:t>
            </w:r>
            <w:r w:rsidRPr="00EA147A">
              <w:rPr>
                <w:rFonts w:eastAsia="Calibri"/>
                <w:lang w:val="en-US"/>
              </w:rPr>
              <w:t>L</w:t>
            </w:r>
            <w:r w:rsidRPr="00744E32">
              <w:rPr>
                <w:rFonts w:eastAsia="Calibri"/>
              </w:rPr>
              <w:t xml:space="preserve">). </w:t>
            </w:r>
            <w:r w:rsidRPr="00EA147A">
              <w:rPr>
                <w:rFonts w:eastAsia="Calibri"/>
                <w:lang w:val="el-GR"/>
              </w:rPr>
              <w:t>Προσθήκη</w:t>
            </w:r>
            <w:r w:rsidRPr="00EA147A">
              <w:rPr>
                <w:rFonts w:eastAsia="Calibri"/>
                <w:lang w:val="en-US"/>
              </w:rPr>
              <w:t xml:space="preserve"> </w:t>
            </w:r>
            <w:r w:rsidRPr="00EA147A">
              <w:rPr>
                <w:rFonts w:eastAsia="Calibri"/>
                <w:lang w:val="el-GR"/>
              </w:rPr>
              <w:t>ορού</w:t>
            </w:r>
            <w:r w:rsidRPr="00EA147A">
              <w:rPr>
                <w:rFonts w:eastAsia="Calibri"/>
                <w:lang w:val="en-US"/>
              </w:rPr>
              <w:t xml:space="preserve">: Standard. HEPES Buffer: No HEPES. Sodium Pyruvate Additive: Sodium Pyruvate. Classification: Animal Origin-Free. </w:t>
            </w:r>
            <w:r w:rsidRPr="00EA147A">
              <w:rPr>
                <w:rFonts w:eastAsia="Calibri"/>
                <w:lang w:val="el-GR"/>
              </w:rPr>
              <w:t>Συγκέντρωση</w:t>
            </w:r>
            <w:r w:rsidRPr="00EA147A">
              <w:rPr>
                <w:rFonts w:eastAsia="Calibri"/>
                <w:lang w:val="en-US"/>
              </w:rPr>
              <w:t xml:space="preserve">: 1 X. </w:t>
            </w:r>
            <w:r w:rsidRPr="00EA147A">
              <w:rPr>
                <w:rFonts w:eastAsia="Calibri"/>
                <w:lang w:val="el-GR"/>
              </w:rPr>
              <w:t>Περιβάλλον</w:t>
            </w:r>
            <w:r w:rsidRPr="00EA147A">
              <w:rPr>
                <w:rFonts w:eastAsia="Calibri"/>
                <w:lang w:val="en-US"/>
              </w:rPr>
              <w:t xml:space="preserve"> </w:t>
            </w:r>
            <w:r w:rsidRPr="00EA147A">
              <w:rPr>
                <w:rFonts w:eastAsia="Calibri"/>
                <w:lang w:val="el-GR"/>
              </w:rPr>
              <w:t>καλλιέργειας</w:t>
            </w:r>
            <w:r w:rsidRPr="00EA147A">
              <w:rPr>
                <w:rFonts w:eastAsia="Calibri"/>
                <w:lang w:val="en-US"/>
              </w:rPr>
              <w:t>: CO2. Osmolality: 320 - 360 mOsm/kg. Sodium Bicarbonate Buffer: Sodium Bicarbonate. Supplementation Required: Serum. pH Range: 7.0 - 7.4. Green Features: Fewer resources used, Less waste</w:t>
            </w:r>
            <w:r w:rsidRPr="00EA147A">
              <w:rPr>
                <w:rFonts w:eastAsia="Calibri"/>
                <w:lang w:val="el-GR"/>
              </w:rPr>
              <w:t>. Συσκευασία</w:t>
            </w:r>
            <w:r w:rsidRPr="00EA147A">
              <w:rPr>
                <w:rFonts w:eastAsia="Calibri"/>
                <w:lang w:val="en-US"/>
              </w:rPr>
              <w:t xml:space="preserve"> 500ml</w:t>
            </w:r>
          </w:p>
        </w:tc>
        <w:tc>
          <w:tcPr>
            <w:tcW w:w="576" w:type="pct"/>
          </w:tcPr>
          <w:p w:rsidR="00744E32" w:rsidRPr="00EA147A" w:rsidRDefault="00744E32" w:rsidP="005B4511">
            <w:pPr>
              <w:spacing w:after="0"/>
              <w:rPr>
                <w:color w:val="000000"/>
                <w:lang w:val="el-GR"/>
              </w:rPr>
            </w:pPr>
          </w:p>
        </w:tc>
        <w:tc>
          <w:tcPr>
            <w:tcW w:w="614" w:type="pct"/>
          </w:tcPr>
          <w:p w:rsidR="00744E32" w:rsidRPr="00EA147A" w:rsidRDefault="00744E32" w:rsidP="005B4511">
            <w:pPr>
              <w:spacing w:after="0"/>
              <w:rPr>
                <w:color w:val="000000"/>
                <w:lang w:val="el-GR"/>
              </w:rPr>
            </w:pPr>
          </w:p>
        </w:tc>
        <w:tc>
          <w:tcPr>
            <w:tcW w:w="806" w:type="pct"/>
          </w:tcPr>
          <w:p w:rsidR="00744E32" w:rsidRPr="00EA147A" w:rsidRDefault="00744E32" w:rsidP="005B4511">
            <w:pPr>
              <w:spacing w:after="0"/>
              <w:rPr>
                <w:color w:val="000000"/>
                <w:lang w:val="el-GR"/>
              </w:rPr>
            </w:pPr>
          </w:p>
        </w:tc>
      </w:tr>
      <w:tr w:rsidR="00744E32" w:rsidRPr="00EA147A" w:rsidTr="005B4511">
        <w:trPr>
          <w:trHeight w:val="982"/>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t>12</w:t>
            </w:r>
          </w:p>
        </w:tc>
        <w:tc>
          <w:tcPr>
            <w:tcW w:w="2660" w:type="pct"/>
            <w:shd w:val="clear" w:color="auto" w:fill="auto"/>
            <w:vAlign w:val="center"/>
          </w:tcPr>
          <w:p w:rsidR="00744E32" w:rsidRPr="00EA147A" w:rsidRDefault="00744E32" w:rsidP="005B4511">
            <w:pPr>
              <w:rPr>
                <w:rFonts w:eastAsia="Calibri"/>
                <w:lang w:val="en-US"/>
              </w:rPr>
            </w:pPr>
            <w:r w:rsidRPr="00EA147A">
              <w:rPr>
                <w:rFonts w:eastAsia="Calibri"/>
                <w:lang w:val="en-US"/>
              </w:rPr>
              <w:t xml:space="preserve">Dextran from Leuconostoc spp, Mr ~40,000 (100g). </w:t>
            </w:r>
            <w:r w:rsidRPr="00EA147A">
              <w:rPr>
                <w:rFonts w:eastAsia="Calibri"/>
                <w:lang w:val="el-GR"/>
              </w:rPr>
              <w:t xml:space="preserve">Άσπρη σκόνη, άχρωμη όταν διαλυθεί. Μοριακό </w:t>
            </w:r>
            <w:r w:rsidRPr="00EA147A">
              <w:rPr>
                <w:rFonts w:eastAsia="Calibri"/>
                <w:lang w:val="el-GR"/>
              </w:rPr>
              <w:lastRenderedPageBreak/>
              <w:t>βάρος 35000-47000 (</w:t>
            </w:r>
            <w:r w:rsidRPr="00EA147A">
              <w:rPr>
                <w:rFonts w:eastAsia="Calibri"/>
                <w:lang w:val="en-US"/>
              </w:rPr>
              <w:t>GPC</w:t>
            </w:r>
            <w:r w:rsidRPr="00EA147A">
              <w:rPr>
                <w:rFonts w:eastAsia="Calibri"/>
                <w:lang w:val="el-GR"/>
              </w:rPr>
              <w:t>). Να διαλύεται κατά 1.5</w:t>
            </w:r>
            <w:r w:rsidRPr="00EA147A">
              <w:rPr>
                <w:rFonts w:eastAsia="Calibri"/>
                <w:lang w:val="en-US"/>
              </w:rPr>
              <w:t>g</w:t>
            </w:r>
            <w:r w:rsidRPr="00EA147A">
              <w:rPr>
                <w:rFonts w:eastAsia="Calibri"/>
                <w:lang w:val="el-GR"/>
              </w:rPr>
              <w:t xml:space="preserve"> σε 10</w:t>
            </w:r>
            <w:r w:rsidRPr="00EA147A">
              <w:rPr>
                <w:rFonts w:eastAsia="Calibri"/>
                <w:lang w:val="en-US"/>
              </w:rPr>
              <w:t>ml</w:t>
            </w:r>
            <w:r w:rsidRPr="00EA147A">
              <w:rPr>
                <w:rFonts w:eastAsia="Calibri"/>
                <w:lang w:val="el-GR"/>
              </w:rPr>
              <w:t xml:space="preserve"> νερό. </w:t>
            </w:r>
            <w:r w:rsidRPr="00EA147A">
              <w:rPr>
                <w:rFonts w:eastAsia="Calibri"/>
                <w:lang w:val="en-US"/>
              </w:rPr>
              <w:t xml:space="preserve">Συσκευασία: 100g </w:t>
            </w:r>
          </w:p>
        </w:tc>
        <w:tc>
          <w:tcPr>
            <w:tcW w:w="576" w:type="pct"/>
          </w:tcPr>
          <w:p w:rsidR="00744E32" w:rsidRPr="00EA147A" w:rsidRDefault="00744E32" w:rsidP="005B4511">
            <w:pPr>
              <w:spacing w:after="0"/>
              <w:rPr>
                <w:color w:val="000000"/>
                <w:lang w:val="el-GR"/>
              </w:rPr>
            </w:pPr>
          </w:p>
        </w:tc>
        <w:tc>
          <w:tcPr>
            <w:tcW w:w="614" w:type="pct"/>
          </w:tcPr>
          <w:p w:rsidR="00744E32" w:rsidRPr="00EA147A" w:rsidRDefault="00744E32" w:rsidP="005B4511">
            <w:pPr>
              <w:spacing w:after="0"/>
              <w:rPr>
                <w:color w:val="000000"/>
                <w:lang w:val="el-GR"/>
              </w:rPr>
            </w:pPr>
          </w:p>
        </w:tc>
        <w:tc>
          <w:tcPr>
            <w:tcW w:w="806" w:type="pct"/>
          </w:tcPr>
          <w:p w:rsidR="00744E32" w:rsidRPr="00EA147A" w:rsidRDefault="00744E32" w:rsidP="005B4511">
            <w:pPr>
              <w:spacing w:after="0"/>
              <w:rPr>
                <w:color w:val="000000"/>
                <w:lang w:val="el-GR"/>
              </w:rPr>
            </w:pPr>
          </w:p>
        </w:tc>
      </w:tr>
      <w:tr w:rsidR="00744E32" w:rsidRPr="00EA147A" w:rsidTr="005B4511">
        <w:trPr>
          <w:trHeight w:val="56"/>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lastRenderedPageBreak/>
              <w:t>13</w:t>
            </w:r>
          </w:p>
        </w:tc>
        <w:tc>
          <w:tcPr>
            <w:tcW w:w="2660" w:type="pct"/>
            <w:tcBorders>
              <w:top w:val="single" w:sz="4" w:space="0" w:color="auto"/>
              <w:left w:val="single" w:sz="4" w:space="0" w:color="auto"/>
              <w:bottom w:val="single" w:sz="4" w:space="0" w:color="auto"/>
              <w:right w:val="single" w:sz="4" w:space="0" w:color="auto"/>
            </w:tcBorders>
            <w:shd w:val="clear" w:color="auto" w:fill="auto"/>
            <w:vAlign w:val="center"/>
          </w:tcPr>
          <w:p w:rsidR="00744E32" w:rsidRPr="00EA147A" w:rsidRDefault="00744E32" w:rsidP="005B4511">
            <w:pPr>
              <w:rPr>
                <w:rFonts w:eastAsia="Calibri"/>
                <w:lang w:val="en-US"/>
              </w:rPr>
            </w:pPr>
            <w:r w:rsidRPr="00EA147A">
              <w:rPr>
                <w:rFonts w:eastAsia="Calibri"/>
                <w:lang w:val="en-US"/>
              </w:rPr>
              <w:t xml:space="preserve">Poly (ethylene glycol), average Mn 6,000. </w:t>
            </w:r>
            <w:r w:rsidRPr="00EA147A">
              <w:rPr>
                <w:rFonts w:eastAsia="Calibri"/>
                <w:lang w:val="el-GR"/>
              </w:rPr>
              <w:t xml:space="preserve">Νιφάδες μοριακού βάρους 5000-7000, </w:t>
            </w:r>
            <w:r w:rsidRPr="00EA147A">
              <w:rPr>
                <w:rFonts w:eastAsia="Calibri"/>
                <w:lang w:val="en-US"/>
              </w:rPr>
              <w:t>pH</w:t>
            </w:r>
            <w:r w:rsidRPr="00EA147A">
              <w:rPr>
                <w:rFonts w:eastAsia="Calibri"/>
                <w:lang w:val="el-GR"/>
              </w:rPr>
              <w:t xml:space="preserve"> 4,5-7,5 και σημείο τήξης 60-63 °</w:t>
            </w:r>
            <w:r w:rsidRPr="00EA147A">
              <w:rPr>
                <w:rFonts w:eastAsia="Calibri"/>
                <w:lang w:val="en-US"/>
              </w:rPr>
              <w:t>C</w:t>
            </w:r>
            <w:r w:rsidRPr="00EA147A">
              <w:rPr>
                <w:rFonts w:eastAsia="Calibri"/>
                <w:lang w:val="el-GR"/>
              </w:rPr>
              <w:t>. Να διαλύεται κατά 2.5</w:t>
            </w:r>
            <w:r w:rsidRPr="00EA147A">
              <w:rPr>
                <w:rFonts w:eastAsia="Calibri"/>
                <w:lang w:val="en-US"/>
              </w:rPr>
              <w:t>g</w:t>
            </w:r>
            <w:r w:rsidRPr="00EA147A">
              <w:rPr>
                <w:rFonts w:eastAsia="Calibri"/>
                <w:lang w:val="el-GR"/>
              </w:rPr>
              <w:t xml:space="preserve"> σε 5</w:t>
            </w:r>
            <w:r w:rsidRPr="00EA147A">
              <w:rPr>
                <w:rFonts w:eastAsia="Calibri"/>
                <w:lang w:val="en-US"/>
              </w:rPr>
              <w:t>ml</w:t>
            </w:r>
            <w:r w:rsidRPr="00EA147A">
              <w:rPr>
                <w:rFonts w:eastAsia="Calibri"/>
                <w:lang w:val="el-GR"/>
              </w:rPr>
              <w:t xml:space="preserve"> νερό. </w:t>
            </w:r>
            <w:r w:rsidRPr="00EA147A">
              <w:rPr>
                <w:rFonts w:eastAsia="Calibri"/>
                <w:lang w:val="en-US"/>
              </w:rPr>
              <w:t xml:space="preserve">Συσκευασία: 1κg </w:t>
            </w:r>
          </w:p>
        </w:tc>
        <w:tc>
          <w:tcPr>
            <w:tcW w:w="576"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c>
          <w:tcPr>
            <w:tcW w:w="614"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c>
          <w:tcPr>
            <w:tcW w:w="806"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r>
      <w:tr w:rsidR="00744E32" w:rsidRPr="00EA147A" w:rsidTr="005B4511">
        <w:trPr>
          <w:trHeight w:val="475"/>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t>14</w:t>
            </w:r>
          </w:p>
        </w:tc>
        <w:tc>
          <w:tcPr>
            <w:tcW w:w="2660" w:type="pct"/>
            <w:tcBorders>
              <w:top w:val="nil"/>
              <w:left w:val="single" w:sz="4" w:space="0" w:color="auto"/>
              <w:bottom w:val="single" w:sz="4" w:space="0" w:color="auto"/>
              <w:right w:val="single" w:sz="4" w:space="0" w:color="auto"/>
            </w:tcBorders>
            <w:shd w:val="clear" w:color="auto" w:fill="auto"/>
            <w:vAlign w:val="center"/>
          </w:tcPr>
          <w:p w:rsidR="00744E32" w:rsidRPr="00EA147A" w:rsidRDefault="00744E32" w:rsidP="005B4511">
            <w:pPr>
              <w:rPr>
                <w:rFonts w:eastAsia="Calibri"/>
                <w:lang w:val="el-GR"/>
              </w:rPr>
            </w:pPr>
            <w:r w:rsidRPr="00EA147A">
              <w:rPr>
                <w:rFonts w:eastAsia="Calibri"/>
                <w:lang w:val="el-GR"/>
              </w:rPr>
              <w:t xml:space="preserve">Χλωροφόρμιο. Να περιέχει 100-200 </w:t>
            </w:r>
            <w:r w:rsidRPr="00EA147A">
              <w:rPr>
                <w:rFonts w:eastAsia="Calibri"/>
                <w:lang w:val="en-US"/>
              </w:rPr>
              <w:t>ppm</w:t>
            </w:r>
            <w:r w:rsidRPr="00EA147A">
              <w:rPr>
                <w:rFonts w:eastAsia="Calibri"/>
                <w:lang w:val="el-GR"/>
              </w:rPr>
              <w:t xml:space="preserve"> αμυλένιο ως σταθεροποιητή. Να έχει πυκνότητα 1.485 </w:t>
            </w:r>
            <w:r w:rsidRPr="00EA147A">
              <w:rPr>
                <w:rFonts w:eastAsia="Calibri"/>
                <w:lang w:val="en-US"/>
              </w:rPr>
              <w:t>g</w:t>
            </w:r>
            <w:r w:rsidRPr="00EA147A">
              <w:rPr>
                <w:rFonts w:eastAsia="Calibri"/>
                <w:lang w:val="el-GR"/>
              </w:rPr>
              <w:t>/</w:t>
            </w:r>
            <w:r w:rsidRPr="00EA147A">
              <w:rPr>
                <w:rFonts w:eastAsia="Calibri"/>
                <w:lang w:val="en-US"/>
              </w:rPr>
              <w:t>cm</w:t>
            </w:r>
            <w:r w:rsidRPr="00EA147A">
              <w:rPr>
                <w:rFonts w:eastAsia="Calibri"/>
                <w:lang w:val="el-GR"/>
              </w:rPr>
              <w:t>3, σημείο βρασμού στους 61 °</w:t>
            </w:r>
            <w:r w:rsidRPr="00EA147A">
              <w:rPr>
                <w:rFonts w:eastAsia="Calibri"/>
                <w:lang w:val="en-US"/>
              </w:rPr>
              <w:t>C</w:t>
            </w:r>
            <w:r w:rsidRPr="00EA147A">
              <w:rPr>
                <w:rFonts w:eastAsia="Calibri"/>
                <w:lang w:val="el-GR"/>
              </w:rPr>
              <w:t xml:space="preserve"> και σημείο ψύξης στους -61.3 °</w:t>
            </w:r>
            <w:r w:rsidRPr="00EA147A">
              <w:rPr>
                <w:rFonts w:eastAsia="Calibri"/>
                <w:lang w:val="en-US"/>
              </w:rPr>
              <w:t>C</w:t>
            </w:r>
            <w:r w:rsidRPr="00EA147A">
              <w:rPr>
                <w:rFonts w:eastAsia="Calibri"/>
                <w:lang w:val="el-GR"/>
              </w:rPr>
              <w:t>. Συσκευασία: 500</w:t>
            </w:r>
            <w:r w:rsidRPr="00EA147A">
              <w:rPr>
                <w:rFonts w:eastAsia="Calibri"/>
                <w:lang w:val="en-US"/>
              </w:rPr>
              <w:t>ml</w:t>
            </w:r>
          </w:p>
        </w:tc>
        <w:tc>
          <w:tcPr>
            <w:tcW w:w="576" w:type="pct"/>
            <w:tcBorders>
              <w:top w:val="nil"/>
              <w:left w:val="single" w:sz="4" w:space="0" w:color="auto"/>
              <w:bottom w:val="single" w:sz="4" w:space="0" w:color="auto"/>
              <w:right w:val="single" w:sz="4" w:space="0" w:color="auto"/>
            </w:tcBorders>
          </w:tcPr>
          <w:p w:rsidR="00744E32" w:rsidRPr="00EA147A" w:rsidRDefault="00744E32" w:rsidP="005B4511">
            <w:pPr>
              <w:rPr>
                <w:color w:val="000000"/>
                <w:lang w:val="el-GR"/>
              </w:rPr>
            </w:pPr>
          </w:p>
        </w:tc>
        <w:tc>
          <w:tcPr>
            <w:tcW w:w="614" w:type="pct"/>
            <w:tcBorders>
              <w:top w:val="nil"/>
              <w:left w:val="single" w:sz="4" w:space="0" w:color="auto"/>
              <w:bottom w:val="single" w:sz="4" w:space="0" w:color="auto"/>
              <w:right w:val="single" w:sz="4" w:space="0" w:color="auto"/>
            </w:tcBorders>
          </w:tcPr>
          <w:p w:rsidR="00744E32" w:rsidRPr="00EA147A" w:rsidRDefault="00744E32" w:rsidP="005B4511">
            <w:pPr>
              <w:rPr>
                <w:color w:val="000000"/>
                <w:lang w:val="el-GR"/>
              </w:rPr>
            </w:pPr>
          </w:p>
        </w:tc>
        <w:tc>
          <w:tcPr>
            <w:tcW w:w="806" w:type="pct"/>
            <w:tcBorders>
              <w:top w:val="nil"/>
              <w:left w:val="single" w:sz="4" w:space="0" w:color="auto"/>
              <w:bottom w:val="single" w:sz="4" w:space="0" w:color="auto"/>
              <w:right w:val="single" w:sz="4" w:space="0" w:color="auto"/>
            </w:tcBorders>
          </w:tcPr>
          <w:p w:rsidR="00744E32" w:rsidRPr="00EA147A" w:rsidRDefault="00744E32" w:rsidP="005B4511">
            <w:pPr>
              <w:rPr>
                <w:color w:val="000000"/>
                <w:lang w:val="el-GR"/>
              </w:rPr>
            </w:pPr>
          </w:p>
        </w:tc>
      </w:tr>
      <w:tr w:rsidR="00744E32" w:rsidRPr="00EA147A" w:rsidTr="005B4511">
        <w:trPr>
          <w:trHeight w:val="541"/>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t>15</w:t>
            </w:r>
          </w:p>
        </w:tc>
        <w:tc>
          <w:tcPr>
            <w:tcW w:w="2660" w:type="pct"/>
            <w:tcBorders>
              <w:top w:val="single" w:sz="4" w:space="0" w:color="auto"/>
              <w:left w:val="single" w:sz="4" w:space="0" w:color="auto"/>
              <w:bottom w:val="single" w:sz="4" w:space="0" w:color="auto"/>
              <w:right w:val="single" w:sz="4" w:space="0" w:color="auto"/>
            </w:tcBorders>
            <w:shd w:val="clear" w:color="auto" w:fill="auto"/>
            <w:vAlign w:val="center"/>
          </w:tcPr>
          <w:p w:rsidR="00744E32" w:rsidRPr="00EA147A" w:rsidRDefault="00744E32" w:rsidP="005B4511">
            <w:pPr>
              <w:rPr>
                <w:rFonts w:eastAsia="Calibri"/>
                <w:lang w:val="el-GR"/>
              </w:rPr>
            </w:pPr>
            <w:r w:rsidRPr="00EA147A">
              <w:rPr>
                <w:rFonts w:eastAsia="Calibri"/>
                <w:lang w:val="en-US"/>
              </w:rPr>
              <w:t xml:space="preserve">Dulbecco’s Phosphate Buffered Saline με προσθήκη MgCl2 και CaCl2. </w:t>
            </w:r>
            <w:r w:rsidRPr="00EA147A">
              <w:rPr>
                <w:rFonts w:eastAsia="Calibri"/>
                <w:lang w:val="el-GR"/>
              </w:rPr>
              <w:t>Σε υγρή μορφή, αποστειρωμένο μέσω φίλτρου, ελεγμένο για ενδοτοξίνες και κατάλληλο για κυτταροκαλλιέργειες. Συσκευασία: 500</w:t>
            </w:r>
            <w:r w:rsidRPr="00EA147A">
              <w:rPr>
                <w:rFonts w:eastAsia="Calibri"/>
                <w:lang w:val="en-US"/>
              </w:rPr>
              <w:t>ml</w:t>
            </w:r>
          </w:p>
        </w:tc>
        <w:tc>
          <w:tcPr>
            <w:tcW w:w="576"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lang w:val="el-GR"/>
              </w:rPr>
            </w:pPr>
          </w:p>
        </w:tc>
        <w:tc>
          <w:tcPr>
            <w:tcW w:w="614"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lang w:val="el-GR"/>
              </w:rPr>
            </w:pPr>
          </w:p>
        </w:tc>
        <w:tc>
          <w:tcPr>
            <w:tcW w:w="806"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lang w:val="el-GR"/>
              </w:rPr>
            </w:pPr>
          </w:p>
        </w:tc>
      </w:tr>
      <w:tr w:rsidR="00744E32" w:rsidRPr="00EA147A" w:rsidTr="005B4511">
        <w:trPr>
          <w:trHeight w:val="56"/>
          <w:jc w:val="center"/>
        </w:trPr>
        <w:tc>
          <w:tcPr>
            <w:tcW w:w="344" w:type="pct"/>
            <w:tcBorders>
              <w:bottom w:val="single" w:sz="4" w:space="0" w:color="auto"/>
            </w:tcBorders>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t>16</w:t>
            </w:r>
          </w:p>
        </w:tc>
        <w:tc>
          <w:tcPr>
            <w:tcW w:w="2660" w:type="pct"/>
            <w:tcBorders>
              <w:top w:val="nil"/>
              <w:left w:val="single" w:sz="4" w:space="0" w:color="auto"/>
              <w:bottom w:val="single" w:sz="4" w:space="0" w:color="auto"/>
              <w:right w:val="single" w:sz="4" w:space="0" w:color="auto"/>
            </w:tcBorders>
            <w:shd w:val="clear" w:color="auto" w:fill="auto"/>
            <w:vAlign w:val="center"/>
          </w:tcPr>
          <w:p w:rsidR="00744E32" w:rsidRPr="00EA147A" w:rsidRDefault="00744E32" w:rsidP="005B4511">
            <w:pPr>
              <w:rPr>
                <w:rFonts w:eastAsia="Calibri"/>
                <w:lang w:val="el-GR"/>
              </w:rPr>
            </w:pPr>
            <w:r w:rsidRPr="00EA147A">
              <w:rPr>
                <w:rFonts w:eastAsia="Calibri"/>
                <w:lang w:val="en-US"/>
              </w:rPr>
              <w:t>Dimethyl</w:t>
            </w:r>
            <w:r w:rsidRPr="00EA147A">
              <w:rPr>
                <w:rFonts w:eastAsia="Calibri"/>
                <w:lang w:val="el-GR"/>
              </w:rPr>
              <w:t xml:space="preserve"> </w:t>
            </w:r>
            <w:r w:rsidRPr="00EA147A">
              <w:rPr>
                <w:rFonts w:eastAsia="Calibri"/>
                <w:lang w:val="en-US"/>
              </w:rPr>
              <w:t>sulfoxide</w:t>
            </w:r>
            <w:r w:rsidRPr="00EA147A">
              <w:rPr>
                <w:rFonts w:eastAsia="Calibri"/>
                <w:lang w:val="el-GR"/>
              </w:rPr>
              <w:t xml:space="preserve"> (</w:t>
            </w:r>
            <w:r w:rsidRPr="00EA147A">
              <w:rPr>
                <w:rFonts w:eastAsia="Calibri"/>
                <w:lang w:val="en-US"/>
              </w:rPr>
              <w:t>DMSO</w:t>
            </w:r>
            <w:r w:rsidRPr="00EA147A">
              <w:rPr>
                <w:rFonts w:eastAsia="Calibri"/>
                <w:lang w:val="el-GR"/>
              </w:rPr>
              <w:t>) ≥99.5% (</w:t>
            </w:r>
            <w:r w:rsidRPr="00EA147A">
              <w:rPr>
                <w:rFonts w:eastAsia="Calibri"/>
                <w:lang w:val="en-US"/>
              </w:rPr>
              <w:t>GC</w:t>
            </w:r>
            <w:r w:rsidRPr="00EA147A">
              <w:rPr>
                <w:rFonts w:eastAsia="Calibri"/>
                <w:lang w:val="el-GR"/>
              </w:rPr>
              <w:t xml:space="preserve">). Διάλυμα υγρής μορφής, άχρωμο και διαυγές, με πυκνότητα 1.10 </w:t>
            </w:r>
            <w:r w:rsidRPr="00EA147A">
              <w:rPr>
                <w:rFonts w:eastAsia="Calibri"/>
                <w:lang w:val="en-US"/>
              </w:rPr>
              <w:t>g</w:t>
            </w:r>
            <w:r w:rsidRPr="00EA147A">
              <w:rPr>
                <w:rFonts w:eastAsia="Calibri"/>
                <w:lang w:val="el-GR"/>
              </w:rPr>
              <w:t>/</w:t>
            </w:r>
            <w:r w:rsidRPr="00EA147A">
              <w:rPr>
                <w:rFonts w:eastAsia="Calibri"/>
                <w:lang w:val="en-US"/>
              </w:rPr>
              <w:t>mL</w:t>
            </w:r>
            <w:r w:rsidRPr="00EA147A">
              <w:rPr>
                <w:rFonts w:eastAsia="Calibri"/>
                <w:lang w:val="el-GR"/>
              </w:rPr>
              <w:t xml:space="preserve"> και ελεγμένο σε καλλιέργειες φυτικών κυττάρων. Συσκευασία 1</w:t>
            </w:r>
            <w:r w:rsidRPr="00EA147A">
              <w:rPr>
                <w:rFonts w:eastAsia="Calibri"/>
                <w:lang w:val="en-US"/>
              </w:rPr>
              <w:t>L</w:t>
            </w:r>
            <w:r w:rsidRPr="00EA147A">
              <w:rPr>
                <w:rFonts w:eastAsia="Calibri"/>
                <w:lang w:val="el-GR"/>
              </w:rPr>
              <w:t xml:space="preserve">. </w:t>
            </w:r>
          </w:p>
        </w:tc>
        <w:tc>
          <w:tcPr>
            <w:tcW w:w="576" w:type="pct"/>
            <w:tcBorders>
              <w:top w:val="nil"/>
              <w:left w:val="single" w:sz="4" w:space="0" w:color="auto"/>
              <w:bottom w:val="single" w:sz="4" w:space="0" w:color="auto"/>
              <w:right w:val="single" w:sz="4" w:space="0" w:color="auto"/>
            </w:tcBorders>
          </w:tcPr>
          <w:p w:rsidR="00744E32" w:rsidRPr="00EA147A" w:rsidRDefault="00744E32" w:rsidP="005B4511">
            <w:pPr>
              <w:rPr>
                <w:lang w:val="el-GR"/>
              </w:rPr>
            </w:pPr>
          </w:p>
        </w:tc>
        <w:tc>
          <w:tcPr>
            <w:tcW w:w="614" w:type="pct"/>
            <w:tcBorders>
              <w:top w:val="nil"/>
              <w:left w:val="single" w:sz="4" w:space="0" w:color="auto"/>
              <w:bottom w:val="single" w:sz="4" w:space="0" w:color="auto"/>
              <w:right w:val="single" w:sz="4" w:space="0" w:color="auto"/>
            </w:tcBorders>
          </w:tcPr>
          <w:p w:rsidR="00744E32" w:rsidRPr="00EA147A" w:rsidRDefault="00744E32" w:rsidP="005B4511">
            <w:pPr>
              <w:rPr>
                <w:lang w:val="el-GR"/>
              </w:rPr>
            </w:pPr>
          </w:p>
        </w:tc>
        <w:tc>
          <w:tcPr>
            <w:tcW w:w="806" w:type="pct"/>
            <w:tcBorders>
              <w:top w:val="nil"/>
              <w:left w:val="single" w:sz="4" w:space="0" w:color="auto"/>
              <w:bottom w:val="single" w:sz="4" w:space="0" w:color="auto"/>
              <w:right w:val="single" w:sz="4" w:space="0" w:color="auto"/>
            </w:tcBorders>
          </w:tcPr>
          <w:p w:rsidR="00744E32" w:rsidRPr="00EA147A" w:rsidRDefault="00744E32" w:rsidP="005B4511">
            <w:pPr>
              <w:rPr>
                <w:lang w:val="el-GR"/>
              </w:rPr>
            </w:pPr>
          </w:p>
        </w:tc>
      </w:tr>
      <w:tr w:rsidR="00744E32" w:rsidRPr="00EA147A" w:rsidTr="005B4511">
        <w:trPr>
          <w:trHeight w:val="485"/>
          <w:jc w:val="center"/>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t>17</w:t>
            </w:r>
          </w:p>
        </w:tc>
        <w:tc>
          <w:tcPr>
            <w:tcW w:w="2660" w:type="pct"/>
            <w:tcBorders>
              <w:top w:val="single" w:sz="4" w:space="0" w:color="auto"/>
              <w:left w:val="single" w:sz="4" w:space="0" w:color="auto"/>
              <w:bottom w:val="single" w:sz="4" w:space="0" w:color="auto"/>
              <w:right w:val="single" w:sz="4" w:space="0" w:color="auto"/>
            </w:tcBorders>
            <w:shd w:val="clear" w:color="auto" w:fill="auto"/>
            <w:vAlign w:val="center"/>
          </w:tcPr>
          <w:p w:rsidR="00744E32" w:rsidRPr="00EA147A" w:rsidRDefault="00744E32" w:rsidP="005B4511">
            <w:pPr>
              <w:rPr>
                <w:rFonts w:eastAsia="Calibri"/>
                <w:lang w:val="en-US"/>
              </w:rPr>
            </w:pPr>
            <w:r w:rsidRPr="00EA147A">
              <w:rPr>
                <w:rFonts w:eastAsia="Calibri"/>
                <w:lang w:val="el-GR"/>
              </w:rPr>
              <w:t xml:space="preserve">Να έχει συγκέντρωση 0,25% και </w:t>
            </w:r>
            <w:r w:rsidRPr="00EA147A">
              <w:rPr>
                <w:rFonts w:eastAsia="Calibri"/>
                <w:lang w:val="en-US"/>
              </w:rPr>
              <w:t>pH</w:t>
            </w:r>
            <w:r w:rsidRPr="00EA147A">
              <w:rPr>
                <w:rFonts w:eastAsia="Calibri"/>
                <w:lang w:val="el-GR"/>
              </w:rPr>
              <w:t xml:space="preserve"> 7.0 - 7.6. 2.5 </w:t>
            </w:r>
            <w:r w:rsidRPr="00EA147A">
              <w:rPr>
                <w:rFonts w:eastAsia="Calibri"/>
                <w:lang w:val="en-US"/>
              </w:rPr>
              <w:t>g</w:t>
            </w:r>
            <w:r w:rsidRPr="00EA147A">
              <w:rPr>
                <w:rFonts w:eastAsia="Calibri"/>
                <w:lang w:val="el-GR"/>
              </w:rPr>
              <w:t xml:space="preserve"> τρυψίνη από χοίρο και 0.2 </w:t>
            </w:r>
            <w:r w:rsidRPr="00EA147A">
              <w:rPr>
                <w:rFonts w:eastAsia="Calibri"/>
                <w:lang w:val="en-US"/>
              </w:rPr>
              <w:t>g</w:t>
            </w:r>
            <w:r w:rsidRPr="00EA147A">
              <w:rPr>
                <w:rFonts w:eastAsia="Calibri"/>
                <w:lang w:val="el-GR"/>
              </w:rPr>
              <w:t xml:space="preserve"> </w:t>
            </w:r>
            <w:r w:rsidRPr="00EA147A">
              <w:rPr>
                <w:rFonts w:eastAsia="Calibri"/>
                <w:lang w:val="en-US"/>
              </w:rPr>
              <w:t>EDTA</w:t>
            </w:r>
            <w:r w:rsidRPr="00EA147A">
              <w:rPr>
                <w:rFonts w:eastAsia="Calibri"/>
                <w:lang w:val="el-GR"/>
              </w:rPr>
              <w:t xml:space="preserve">. Να είναι αποστειρωμένο μέσω φίλτρου και κατάλληλο για κυτταροκαλλιέργειες. Ελεύθερο μυκοπλάσματος και υπολειμμάτων παρβοϊού χοίρου. </w:t>
            </w:r>
            <w:r w:rsidRPr="00EA147A">
              <w:rPr>
                <w:rFonts w:eastAsia="Calibri"/>
                <w:lang w:val="en-US"/>
              </w:rPr>
              <w:t>Συσκευασία: 500ml</w:t>
            </w:r>
          </w:p>
        </w:tc>
        <w:tc>
          <w:tcPr>
            <w:tcW w:w="576"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c>
          <w:tcPr>
            <w:tcW w:w="614"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c>
          <w:tcPr>
            <w:tcW w:w="806"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r>
      <w:tr w:rsidR="00744E32" w:rsidRPr="00EA147A" w:rsidTr="005B4511">
        <w:trPr>
          <w:trHeight w:val="56"/>
          <w:jc w:val="center"/>
        </w:trPr>
        <w:tc>
          <w:tcPr>
            <w:tcW w:w="344" w:type="pct"/>
            <w:tcBorders>
              <w:top w:val="single" w:sz="4" w:space="0" w:color="auto"/>
            </w:tcBorders>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t>18</w:t>
            </w:r>
          </w:p>
        </w:tc>
        <w:tc>
          <w:tcPr>
            <w:tcW w:w="2660" w:type="pct"/>
            <w:tcBorders>
              <w:top w:val="single" w:sz="4" w:space="0" w:color="auto"/>
            </w:tcBorders>
            <w:shd w:val="clear" w:color="auto" w:fill="auto"/>
            <w:vAlign w:val="center"/>
          </w:tcPr>
          <w:p w:rsidR="00744E32" w:rsidRPr="00EA147A" w:rsidRDefault="00744E32" w:rsidP="005B4511">
            <w:pPr>
              <w:rPr>
                <w:rFonts w:eastAsia="Calibri"/>
                <w:lang w:val="el-GR"/>
              </w:rPr>
            </w:pPr>
            <w:r w:rsidRPr="00EA147A">
              <w:rPr>
                <w:rFonts w:eastAsia="Calibri"/>
                <w:lang w:val="en-US"/>
              </w:rPr>
              <w:t>HEPES</w:t>
            </w:r>
            <w:r w:rsidRPr="00EA147A">
              <w:rPr>
                <w:rFonts w:eastAsia="Calibri"/>
                <w:lang w:val="el-GR"/>
              </w:rPr>
              <w:t xml:space="preserve"> </w:t>
            </w:r>
            <w:r w:rsidRPr="00EA147A">
              <w:rPr>
                <w:rFonts w:eastAsia="Calibri"/>
                <w:lang w:val="en-US"/>
              </w:rPr>
              <w:t>BUFFER</w:t>
            </w:r>
            <w:r w:rsidRPr="00EA147A">
              <w:rPr>
                <w:rFonts w:eastAsia="Calibri"/>
                <w:lang w:val="el-GR"/>
              </w:rPr>
              <w:t xml:space="preserve"> 1</w:t>
            </w:r>
            <w:r w:rsidRPr="00EA147A">
              <w:rPr>
                <w:rFonts w:eastAsia="Calibri"/>
                <w:lang w:val="en-US"/>
              </w:rPr>
              <w:t>M</w:t>
            </w:r>
            <w:r w:rsidRPr="00EA147A">
              <w:rPr>
                <w:rFonts w:eastAsia="Calibri"/>
                <w:lang w:val="el-GR"/>
              </w:rPr>
              <w:t xml:space="preserve"> (</w:t>
            </w:r>
            <w:r w:rsidRPr="00EA147A">
              <w:rPr>
                <w:rFonts w:eastAsia="Calibri"/>
                <w:lang w:val="en-US"/>
              </w:rPr>
              <w:t>CE</w:t>
            </w:r>
            <w:r w:rsidRPr="00EA147A">
              <w:rPr>
                <w:rFonts w:eastAsia="Calibri"/>
                <w:lang w:val="el-GR"/>
              </w:rPr>
              <w:t xml:space="preserve">) Σε υγρή μορφή, αποστειρωμένο μέσω φίλτρου, ελεγμένο για ενδοτοξίνες με συγκέντρωση 1 Μ και </w:t>
            </w:r>
            <w:r w:rsidRPr="00EA147A">
              <w:rPr>
                <w:rFonts w:eastAsia="Calibri"/>
                <w:lang w:val="en-US"/>
              </w:rPr>
              <w:t>pH</w:t>
            </w:r>
            <w:r w:rsidRPr="00EA147A">
              <w:rPr>
                <w:rFonts w:eastAsia="Calibri"/>
                <w:lang w:val="el-GR"/>
              </w:rPr>
              <w:t xml:space="preserve"> 7.0-7.6. Συσκευασία: 100</w:t>
            </w:r>
            <w:r w:rsidRPr="00EA147A">
              <w:rPr>
                <w:rFonts w:eastAsia="Calibri"/>
                <w:lang w:val="en-US"/>
              </w:rPr>
              <w:t>ml</w:t>
            </w:r>
          </w:p>
        </w:tc>
        <w:tc>
          <w:tcPr>
            <w:tcW w:w="576" w:type="pct"/>
            <w:tcBorders>
              <w:top w:val="single" w:sz="4" w:space="0" w:color="auto"/>
            </w:tcBorders>
          </w:tcPr>
          <w:p w:rsidR="00744E32" w:rsidRPr="00EA147A" w:rsidRDefault="00744E32" w:rsidP="005B4511">
            <w:pPr>
              <w:rPr>
                <w:color w:val="000000"/>
                <w:lang w:val="el-GR"/>
              </w:rPr>
            </w:pPr>
          </w:p>
        </w:tc>
        <w:tc>
          <w:tcPr>
            <w:tcW w:w="614" w:type="pct"/>
            <w:tcBorders>
              <w:top w:val="single" w:sz="4" w:space="0" w:color="auto"/>
            </w:tcBorders>
          </w:tcPr>
          <w:p w:rsidR="00744E32" w:rsidRPr="00EA147A" w:rsidRDefault="00744E32" w:rsidP="005B4511">
            <w:pPr>
              <w:rPr>
                <w:color w:val="000000"/>
                <w:lang w:val="el-GR"/>
              </w:rPr>
            </w:pPr>
          </w:p>
        </w:tc>
        <w:tc>
          <w:tcPr>
            <w:tcW w:w="806" w:type="pct"/>
            <w:tcBorders>
              <w:top w:val="single" w:sz="4" w:space="0" w:color="auto"/>
            </w:tcBorders>
          </w:tcPr>
          <w:p w:rsidR="00744E32" w:rsidRPr="00EA147A" w:rsidRDefault="00744E32" w:rsidP="005B4511">
            <w:pPr>
              <w:rPr>
                <w:color w:val="000000"/>
                <w:lang w:val="el-GR"/>
              </w:rPr>
            </w:pPr>
          </w:p>
        </w:tc>
      </w:tr>
      <w:tr w:rsidR="00744E32" w:rsidRPr="00EA147A" w:rsidTr="005B4511">
        <w:trPr>
          <w:trHeight w:val="56"/>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t>19</w:t>
            </w:r>
          </w:p>
        </w:tc>
        <w:tc>
          <w:tcPr>
            <w:tcW w:w="2660" w:type="pct"/>
            <w:shd w:val="clear" w:color="auto" w:fill="auto"/>
            <w:vAlign w:val="center"/>
          </w:tcPr>
          <w:p w:rsidR="00744E32" w:rsidRPr="00EA147A" w:rsidRDefault="00744E32" w:rsidP="005B4511">
            <w:pPr>
              <w:rPr>
                <w:rFonts w:eastAsia="Calibri"/>
                <w:lang w:val="en-US"/>
              </w:rPr>
            </w:pPr>
            <w:r w:rsidRPr="00EA147A">
              <w:rPr>
                <w:rFonts w:eastAsia="Calibri"/>
                <w:lang w:val="en-US"/>
              </w:rPr>
              <w:t>Dulbecco</w:t>
            </w:r>
            <w:r w:rsidRPr="00EA147A">
              <w:rPr>
                <w:rFonts w:eastAsia="Calibri"/>
                <w:lang w:val="el-GR"/>
              </w:rPr>
              <w:t>’</w:t>
            </w:r>
            <w:r w:rsidRPr="00EA147A">
              <w:rPr>
                <w:rFonts w:eastAsia="Calibri"/>
                <w:lang w:val="en-US"/>
              </w:rPr>
              <w:t>s</w:t>
            </w:r>
            <w:r w:rsidRPr="00EA147A">
              <w:rPr>
                <w:rFonts w:eastAsia="Calibri"/>
                <w:lang w:val="el-GR"/>
              </w:rPr>
              <w:t xml:space="preserve"> </w:t>
            </w:r>
            <w:r w:rsidRPr="00EA147A">
              <w:rPr>
                <w:rFonts w:eastAsia="Calibri"/>
                <w:lang w:val="en-US"/>
              </w:rPr>
              <w:t>Phosphate</w:t>
            </w:r>
            <w:r w:rsidRPr="00EA147A">
              <w:rPr>
                <w:rFonts w:eastAsia="Calibri"/>
                <w:lang w:val="el-GR"/>
              </w:rPr>
              <w:t xml:space="preserve"> </w:t>
            </w:r>
            <w:r w:rsidRPr="00EA147A">
              <w:rPr>
                <w:rFonts w:eastAsia="Calibri"/>
                <w:lang w:val="en-US"/>
              </w:rPr>
              <w:t>Buffered</w:t>
            </w:r>
            <w:r w:rsidRPr="00EA147A">
              <w:rPr>
                <w:rFonts w:eastAsia="Calibri"/>
                <w:lang w:val="el-GR"/>
              </w:rPr>
              <w:t xml:space="preserve"> </w:t>
            </w:r>
            <w:r w:rsidRPr="00EA147A">
              <w:rPr>
                <w:rFonts w:eastAsia="Calibri"/>
                <w:lang w:val="en-US"/>
              </w:rPr>
              <w:t>Saline</w:t>
            </w:r>
            <w:r w:rsidRPr="00EA147A">
              <w:rPr>
                <w:rFonts w:eastAsia="Calibri"/>
                <w:lang w:val="el-GR"/>
              </w:rPr>
              <w:t xml:space="preserve"> χωρίς προσθήκη </w:t>
            </w:r>
            <w:r w:rsidRPr="00EA147A">
              <w:rPr>
                <w:rFonts w:eastAsia="Calibri"/>
                <w:lang w:val="en-US"/>
              </w:rPr>
              <w:t>MgCl</w:t>
            </w:r>
            <w:r w:rsidRPr="00EA147A">
              <w:rPr>
                <w:rFonts w:eastAsia="Calibri"/>
                <w:lang w:val="el-GR"/>
              </w:rPr>
              <w:t xml:space="preserve">2 και </w:t>
            </w:r>
            <w:r w:rsidRPr="00EA147A">
              <w:rPr>
                <w:rFonts w:eastAsia="Calibri"/>
                <w:lang w:val="en-US"/>
              </w:rPr>
              <w:t>CaCl</w:t>
            </w:r>
            <w:r w:rsidRPr="00EA147A">
              <w:rPr>
                <w:rFonts w:eastAsia="Calibri"/>
                <w:lang w:val="el-GR"/>
              </w:rPr>
              <w:t xml:space="preserve">2. Σε υγρή μορφή, αποστειρωμένο μέσω φίλτρου, ελεγμένο για ενδοτοξίνες και κατάλληλο για κυτταροκαλλιέργιες. </w:t>
            </w:r>
            <w:r w:rsidRPr="00EA147A">
              <w:rPr>
                <w:rFonts w:eastAsia="Calibri"/>
                <w:lang w:val="en-US"/>
              </w:rPr>
              <w:t>Συσκευασία: 500ml</w:t>
            </w:r>
          </w:p>
        </w:tc>
        <w:tc>
          <w:tcPr>
            <w:tcW w:w="576" w:type="pct"/>
          </w:tcPr>
          <w:p w:rsidR="00744E32" w:rsidRPr="00EA147A" w:rsidRDefault="00744E32" w:rsidP="005B4511">
            <w:pPr>
              <w:spacing w:after="0"/>
              <w:rPr>
                <w:color w:val="000000"/>
                <w:lang w:val="el-GR"/>
              </w:rPr>
            </w:pPr>
          </w:p>
        </w:tc>
        <w:tc>
          <w:tcPr>
            <w:tcW w:w="614" w:type="pct"/>
          </w:tcPr>
          <w:p w:rsidR="00744E32" w:rsidRPr="00EA147A" w:rsidRDefault="00744E32" w:rsidP="005B4511">
            <w:pPr>
              <w:spacing w:after="0"/>
              <w:rPr>
                <w:color w:val="000000"/>
                <w:lang w:val="el-GR"/>
              </w:rPr>
            </w:pPr>
          </w:p>
        </w:tc>
        <w:tc>
          <w:tcPr>
            <w:tcW w:w="806" w:type="pct"/>
          </w:tcPr>
          <w:p w:rsidR="00744E32" w:rsidRPr="00EA147A" w:rsidRDefault="00744E32" w:rsidP="005B4511">
            <w:pPr>
              <w:spacing w:after="0"/>
              <w:rPr>
                <w:color w:val="000000"/>
                <w:lang w:val="el-GR"/>
              </w:rPr>
            </w:pPr>
          </w:p>
        </w:tc>
      </w:tr>
      <w:tr w:rsidR="00744E32" w:rsidRPr="00EA147A" w:rsidTr="005B4511">
        <w:trPr>
          <w:trHeight w:val="500"/>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t>20</w:t>
            </w:r>
          </w:p>
        </w:tc>
        <w:tc>
          <w:tcPr>
            <w:tcW w:w="2660" w:type="pct"/>
            <w:tcBorders>
              <w:top w:val="single" w:sz="4" w:space="0" w:color="auto"/>
              <w:left w:val="single" w:sz="4" w:space="0" w:color="auto"/>
              <w:bottom w:val="single" w:sz="4" w:space="0" w:color="auto"/>
              <w:right w:val="single" w:sz="4" w:space="0" w:color="auto"/>
            </w:tcBorders>
            <w:shd w:val="clear" w:color="auto" w:fill="auto"/>
            <w:vAlign w:val="center"/>
          </w:tcPr>
          <w:p w:rsidR="00744E32" w:rsidRPr="00EA147A" w:rsidRDefault="00744E32" w:rsidP="005B4511">
            <w:pPr>
              <w:rPr>
                <w:rFonts w:eastAsia="Calibri"/>
                <w:lang w:val="el-GR"/>
              </w:rPr>
            </w:pPr>
            <w:r w:rsidRPr="00EA147A">
              <w:rPr>
                <w:rFonts w:eastAsia="Calibri"/>
                <w:lang w:val="el-GR"/>
              </w:rPr>
              <w:t>Ρύγχη πιπεττών 20-200μ</w:t>
            </w:r>
            <w:r w:rsidRPr="00EA147A">
              <w:rPr>
                <w:rFonts w:eastAsia="Calibri"/>
                <w:lang w:val="en-US"/>
              </w:rPr>
              <w:t>l</w:t>
            </w:r>
            <w:r w:rsidRPr="00EA147A">
              <w:rPr>
                <w:rFonts w:eastAsia="Calibri"/>
                <w:lang w:val="el-GR"/>
              </w:rPr>
              <w:t xml:space="preserve"> από πολυπροπυλένιο, κατάλληλα για πιπέττες </w:t>
            </w:r>
            <w:r w:rsidRPr="00EA147A">
              <w:rPr>
                <w:rFonts w:eastAsia="Calibri"/>
                <w:lang w:val="en-US"/>
              </w:rPr>
              <w:t>Gilson</w:t>
            </w:r>
            <w:r w:rsidRPr="00EA147A">
              <w:rPr>
                <w:rFonts w:eastAsia="Calibri"/>
                <w:lang w:val="el-GR"/>
              </w:rPr>
              <w:t>. Να είναι εγκεκριμένα από τον κατασκευαστή των πιπεττών με έγγραφη βεβαίωση. Συσκευασία: 1000 τεμάχια / σακούλα</w:t>
            </w:r>
          </w:p>
        </w:tc>
        <w:tc>
          <w:tcPr>
            <w:tcW w:w="576"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c>
          <w:tcPr>
            <w:tcW w:w="614"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c>
          <w:tcPr>
            <w:tcW w:w="806"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r>
      <w:tr w:rsidR="00744E32" w:rsidRPr="00EA147A" w:rsidTr="005B4511">
        <w:trPr>
          <w:trHeight w:val="56"/>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t>21</w:t>
            </w:r>
          </w:p>
        </w:tc>
        <w:tc>
          <w:tcPr>
            <w:tcW w:w="2660" w:type="pct"/>
            <w:tcBorders>
              <w:top w:val="single" w:sz="4" w:space="0" w:color="auto"/>
              <w:left w:val="single" w:sz="4" w:space="0" w:color="auto"/>
              <w:bottom w:val="single" w:sz="4" w:space="0" w:color="auto"/>
              <w:right w:val="single" w:sz="4" w:space="0" w:color="auto"/>
            </w:tcBorders>
            <w:shd w:val="clear" w:color="auto" w:fill="auto"/>
            <w:vAlign w:val="center"/>
          </w:tcPr>
          <w:p w:rsidR="00744E32" w:rsidRPr="00EA147A" w:rsidRDefault="00744E32" w:rsidP="005B4511">
            <w:pPr>
              <w:rPr>
                <w:rFonts w:eastAsia="Calibri"/>
                <w:lang w:val="el-GR"/>
              </w:rPr>
            </w:pPr>
            <w:r w:rsidRPr="00EA147A">
              <w:rPr>
                <w:rFonts w:eastAsia="Calibri"/>
                <w:lang w:val="el-GR"/>
              </w:rPr>
              <w:t>Φλάσκες κυτταροκαλλιέργειας εμβαδού 25</w:t>
            </w:r>
            <w:r w:rsidRPr="00EA147A">
              <w:rPr>
                <w:rFonts w:eastAsia="Calibri"/>
                <w:lang w:val="en-US"/>
              </w:rPr>
              <w:t>cm</w:t>
            </w:r>
            <w:r w:rsidRPr="00EA147A">
              <w:rPr>
                <w:rFonts w:eastAsia="Calibri"/>
                <w:lang w:val="el-GR"/>
              </w:rPr>
              <w:t xml:space="preserve">2, από πολυστυρένιο με καπάκι με φίλτρο, </w:t>
            </w:r>
            <w:r w:rsidRPr="00EA147A">
              <w:rPr>
                <w:rFonts w:eastAsia="Calibri"/>
                <w:lang w:val="el-GR"/>
              </w:rPr>
              <w:lastRenderedPageBreak/>
              <w:t xml:space="preserve">κεκαμμένο λαιμό, με ειδική επεξεργασμένη επιφάνεια, αποστειρωμένες ανά 20 με βαθμό στειρότητας </w:t>
            </w:r>
            <w:r w:rsidRPr="00EA147A">
              <w:rPr>
                <w:rFonts w:eastAsia="Calibri"/>
                <w:lang w:val="en-US"/>
              </w:rPr>
              <w:t>SAL</w:t>
            </w:r>
            <w:r w:rsidRPr="00EA147A">
              <w:rPr>
                <w:rFonts w:eastAsia="Calibri"/>
                <w:lang w:val="el-GR"/>
              </w:rPr>
              <w:t xml:space="preserve"> 10-5, ελεγμένες για κυτταρική προσκόλληση και ανάπτυξη, χωρίς πυρετογόνα. Συσκευασία 500 τεμάχια/κούτα</w:t>
            </w:r>
          </w:p>
        </w:tc>
        <w:tc>
          <w:tcPr>
            <w:tcW w:w="576"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c>
          <w:tcPr>
            <w:tcW w:w="614"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c>
          <w:tcPr>
            <w:tcW w:w="806"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r>
      <w:tr w:rsidR="00744E32" w:rsidRPr="00EA147A" w:rsidTr="005B4511">
        <w:trPr>
          <w:trHeight w:val="500"/>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lastRenderedPageBreak/>
              <w:t>22</w:t>
            </w:r>
          </w:p>
        </w:tc>
        <w:tc>
          <w:tcPr>
            <w:tcW w:w="2660" w:type="pct"/>
            <w:tcBorders>
              <w:top w:val="single" w:sz="4" w:space="0" w:color="auto"/>
              <w:left w:val="single" w:sz="4" w:space="0" w:color="auto"/>
              <w:bottom w:val="single" w:sz="4" w:space="0" w:color="auto"/>
              <w:right w:val="single" w:sz="4" w:space="0" w:color="auto"/>
            </w:tcBorders>
            <w:shd w:val="clear" w:color="auto" w:fill="auto"/>
            <w:vAlign w:val="center"/>
          </w:tcPr>
          <w:p w:rsidR="00744E32" w:rsidRPr="00EA147A" w:rsidRDefault="00744E32" w:rsidP="005B4511">
            <w:pPr>
              <w:rPr>
                <w:rFonts w:eastAsia="Calibri"/>
                <w:lang w:val="el-GR"/>
              </w:rPr>
            </w:pPr>
            <w:r w:rsidRPr="00EA147A">
              <w:rPr>
                <w:rFonts w:eastAsia="Calibri"/>
                <w:lang w:val="el-GR"/>
              </w:rPr>
              <w:t>Φυγοκεντρικοί σωλήνες πολυπροπυλενίου (PP) με βιδωτό καπάκι PE, όγκου 15ml, Ø17x120 mm, με κωνικό πυθμένα, διαφανείς, βαθμονομημένοι, με επιφάνεια για γραφή, αποστειρωμένοι με γ-ακτινοβολία (sterile R), max. RCF 17.000g, CE/IVD. Σε συσκευασία των 25 τεμαχίων. Κάθε συσκευασία φέρει αναλυτικές πληροφορίες σχετικά με την ημερομηνία λήξης, το Lot No και τα χαρακτηριστικά του προϊόντος. Διάμετρος σωλήνα: 17,00 mm (+/- 0,2 mm). Ύψος: 120,00 mm (+/- 0,2 mm). Ανθεκτικά στους - 80 °C. Autocl. up to 121°C (no cap). Χωρίς βαρέα μέτταλα σύμφωνα με την οδηγία EC/94/62. Επαφή με τρόφιμα (Food contact): η πρώτη ύλη είναι σύμφωνη με την οδηγία EC 1935/2004. Ελεύθεροι PCR inhibitors, ανθρώπινου DNA, RNase &amp; DNase, πυρετογόνων και ενδοτοξινών. Sterilisation Process: radiation sterilization SAL 10-6. Συσκευασία: 500 Τεμάχια / Κούτα</w:t>
            </w:r>
          </w:p>
        </w:tc>
        <w:tc>
          <w:tcPr>
            <w:tcW w:w="576"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c>
          <w:tcPr>
            <w:tcW w:w="614"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c>
          <w:tcPr>
            <w:tcW w:w="806"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r>
      <w:tr w:rsidR="00744E32" w:rsidRPr="00EA147A" w:rsidTr="005B4511">
        <w:trPr>
          <w:trHeight w:val="500"/>
          <w:jc w:val="center"/>
        </w:trPr>
        <w:tc>
          <w:tcPr>
            <w:tcW w:w="344" w:type="pct"/>
            <w:shd w:val="clear" w:color="auto" w:fill="auto"/>
            <w:noWrap/>
            <w:vAlign w:val="center"/>
          </w:tcPr>
          <w:p w:rsidR="00744E32" w:rsidRPr="00EA147A" w:rsidRDefault="00744E32" w:rsidP="005B4511">
            <w:pPr>
              <w:spacing w:after="0"/>
              <w:rPr>
                <w:color w:val="000000"/>
                <w:lang w:val="el-GR" w:eastAsia="el-GR"/>
              </w:rPr>
            </w:pPr>
            <w:r w:rsidRPr="00EA147A">
              <w:rPr>
                <w:color w:val="000000"/>
                <w:lang w:val="el-GR" w:eastAsia="el-GR"/>
              </w:rPr>
              <w:t>23</w:t>
            </w:r>
          </w:p>
        </w:tc>
        <w:tc>
          <w:tcPr>
            <w:tcW w:w="2660" w:type="pct"/>
            <w:tcBorders>
              <w:top w:val="single" w:sz="4" w:space="0" w:color="auto"/>
              <w:left w:val="single" w:sz="4" w:space="0" w:color="auto"/>
              <w:bottom w:val="single" w:sz="4" w:space="0" w:color="auto"/>
              <w:right w:val="single" w:sz="4" w:space="0" w:color="auto"/>
            </w:tcBorders>
            <w:shd w:val="clear" w:color="auto" w:fill="auto"/>
            <w:vAlign w:val="center"/>
          </w:tcPr>
          <w:p w:rsidR="00744E32" w:rsidRPr="00EA147A" w:rsidRDefault="00744E32" w:rsidP="005B4511">
            <w:pPr>
              <w:rPr>
                <w:rFonts w:eastAsia="Calibri"/>
                <w:lang w:val="el-GR"/>
              </w:rPr>
            </w:pPr>
            <w:r w:rsidRPr="00EA147A">
              <w:rPr>
                <w:rFonts w:eastAsia="Calibri"/>
                <w:lang w:val="el-GR"/>
              </w:rPr>
              <w:t>Φυγοκεντρικοί σωλήνες πολυπροπυλενίου (PP) με βιδωτό καπάκι PE, όγκου 50ml, Ø30x115 mm, με κωνικό πυθμένα, διαφανείς, βαθμονομημένοι, με επιφάνεια γραφής, αποστειρωμένοι με γ-ακτινοβολία (sterile R), max. RCF 20.000g, CE/IVD. Σε συσκευασία των 25 τεμαχίων. Κάθε συσκευασία φέρει αναλυτικές πληροφορίες σχετικά με την ημερομηνία λήξης, το Lot No και τα χαρακτηριστικά του προϊόντος. Διάμετρος σωλήνα: 30,00 mm (+/- 0,2 mm). Ύψος: 115,00 mm (+/- 0,2 mm). Ανθεκτικά στους - 80 °C. Autocl. up to 121°C (no cap). Χωρίς βαρέα μέταλλα σύμφωνα με την οδηγία EC/94/62. Επαφή με τρόφιμα (Food contact): η πρώτη ύλη είναι σύμφωνη με την οδηγία EC 1935/2004. Ελεύθεροι PCR inhibitors, ανθρώπινου DNA, RNase &amp; DNase, πυρετογόνων και ενδοτοξινών. Sterilisation Process: radiation sterilization SAL 10-6. Συσκευασία: 250 Τεμάχια / Κούτα</w:t>
            </w:r>
          </w:p>
        </w:tc>
        <w:tc>
          <w:tcPr>
            <w:tcW w:w="576"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c>
          <w:tcPr>
            <w:tcW w:w="614"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c>
          <w:tcPr>
            <w:tcW w:w="806" w:type="pct"/>
            <w:tcBorders>
              <w:top w:val="single" w:sz="4" w:space="0" w:color="auto"/>
              <w:left w:val="single" w:sz="4" w:space="0" w:color="auto"/>
              <w:bottom w:val="single" w:sz="4" w:space="0" w:color="auto"/>
              <w:right w:val="single" w:sz="4" w:space="0" w:color="auto"/>
            </w:tcBorders>
          </w:tcPr>
          <w:p w:rsidR="00744E32" w:rsidRPr="00EA147A" w:rsidRDefault="00744E32" w:rsidP="005B4511">
            <w:pPr>
              <w:rPr>
                <w:color w:val="000000"/>
                <w:lang w:val="el-GR"/>
              </w:rPr>
            </w:pPr>
          </w:p>
        </w:tc>
      </w:tr>
    </w:tbl>
    <w:p w:rsidR="00744E32" w:rsidRDefault="00744E32"/>
    <w:sectPr w:rsidR="00744E3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617" w:rsidRDefault="007D3617" w:rsidP="00744E32">
      <w:pPr>
        <w:spacing w:after="0" w:line="240" w:lineRule="auto"/>
      </w:pPr>
      <w:r>
        <w:separator/>
      </w:r>
    </w:p>
  </w:endnote>
  <w:endnote w:type="continuationSeparator" w:id="0">
    <w:p w:rsidR="007D3617" w:rsidRDefault="007D3617" w:rsidP="0074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871730"/>
      <w:docPartObj>
        <w:docPartGallery w:val="Page Numbers (Bottom of Page)"/>
        <w:docPartUnique/>
      </w:docPartObj>
    </w:sdtPr>
    <w:sdtEndPr>
      <w:rPr>
        <w:noProof/>
      </w:rPr>
    </w:sdtEndPr>
    <w:sdtContent>
      <w:p w:rsidR="00744E32" w:rsidRDefault="00744E32">
        <w:pPr>
          <w:pStyle w:val="a4"/>
          <w:jc w:val="center"/>
        </w:pPr>
        <w:r>
          <w:fldChar w:fldCharType="begin"/>
        </w:r>
        <w:r>
          <w:instrText xml:space="preserve"> PAGE   \* MERGEFORMAT </w:instrText>
        </w:r>
        <w:r>
          <w:fldChar w:fldCharType="separate"/>
        </w:r>
        <w:r w:rsidR="00522B35">
          <w:rPr>
            <w:noProof/>
          </w:rPr>
          <w:t>1</w:t>
        </w:r>
        <w:r>
          <w:rPr>
            <w:noProof/>
          </w:rPr>
          <w:fldChar w:fldCharType="end"/>
        </w:r>
      </w:p>
    </w:sdtContent>
  </w:sdt>
  <w:p w:rsidR="00744E32" w:rsidRDefault="00744E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617" w:rsidRDefault="007D3617" w:rsidP="00744E32">
      <w:pPr>
        <w:spacing w:after="0" w:line="240" w:lineRule="auto"/>
      </w:pPr>
      <w:r>
        <w:separator/>
      </w:r>
    </w:p>
  </w:footnote>
  <w:footnote w:type="continuationSeparator" w:id="0">
    <w:p w:rsidR="007D3617" w:rsidRDefault="007D3617" w:rsidP="00744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E32"/>
    <w:rsid w:val="00522B35"/>
    <w:rsid w:val="00744E32"/>
    <w:rsid w:val="007603F1"/>
    <w:rsid w:val="007D3617"/>
    <w:rsid w:val="008E1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578DE8-FD26-43EE-99E8-A06F5A32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E32"/>
    <w:pPr>
      <w:tabs>
        <w:tab w:val="center" w:pos="4153"/>
        <w:tab w:val="right" w:pos="8306"/>
      </w:tabs>
      <w:spacing w:after="0" w:line="240" w:lineRule="auto"/>
    </w:pPr>
  </w:style>
  <w:style w:type="character" w:customStyle="1" w:styleId="Char">
    <w:name w:val="Κεφαλίδα Char"/>
    <w:basedOn w:val="a0"/>
    <w:link w:val="a3"/>
    <w:uiPriority w:val="99"/>
    <w:rsid w:val="00744E32"/>
  </w:style>
  <w:style w:type="paragraph" w:styleId="a4">
    <w:name w:val="footer"/>
    <w:basedOn w:val="a"/>
    <w:link w:val="Char0"/>
    <w:uiPriority w:val="99"/>
    <w:unhideWhenUsed/>
    <w:rsid w:val="00744E32"/>
    <w:pPr>
      <w:tabs>
        <w:tab w:val="center" w:pos="4153"/>
        <w:tab w:val="right" w:pos="8306"/>
      </w:tabs>
      <w:spacing w:after="0" w:line="240" w:lineRule="auto"/>
    </w:pPr>
  </w:style>
  <w:style w:type="character" w:customStyle="1" w:styleId="Char0">
    <w:name w:val="Υποσέλιδο Char"/>
    <w:basedOn w:val="a0"/>
    <w:link w:val="a4"/>
    <w:uiPriority w:val="99"/>
    <w:rsid w:val="00744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1739</Words>
  <Characters>9394</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2019-11-06T08:02:00Z</dcterms:created>
  <dcterms:modified xsi:type="dcterms:W3CDTF">2019-11-06T08:02:00Z</dcterms:modified>
</cp:coreProperties>
</file>