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C6" w:rsidRDefault="00204EC6">
      <w:pPr>
        <w:rPr>
          <w:lang w:val="el-GR"/>
        </w:rPr>
      </w:pPr>
      <w:bookmarkStart w:id="0" w:name="_GoBack"/>
      <w:bookmarkEnd w:id="0"/>
    </w:p>
    <w:p w:rsidR="002C0E1B" w:rsidRPr="002C0E1B" w:rsidRDefault="002C0E1B">
      <w:pPr>
        <w:rPr>
          <w:b/>
          <w:sz w:val="24"/>
          <w:u w:val="single"/>
          <w:lang w:val="el-GR"/>
        </w:rPr>
      </w:pPr>
      <w:r w:rsidRPr="002C0E1B">
        <w:rPr>
          <w:b/>
          <w:sz w:val="24"/>
          <w:u w:val="single"/>
          <w:lang w:val="el-GR"/>
        </w:rPr>
        <w:t xml:space="preserve">ΦΥΛΛΟ ΣΥΜΜΟΡΦΩΣΗΣ  </w:t>
      </w:r>
    </w:p>
    <w:p w:rsidR="002C0E1B" w:rsidRDefault="002C0E1B">
      <w:pPr>
        <w:rPr>
          <w:lang w:val="el-GR"/>
        </w:rPr>
      </w:pP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533"/>
        <w:gridCol w:w="758"/>
        <w:gridCol w:w="679"/>
        <w:gridCol w:w="1496"/>
      </w:tblGrid>
      <w:tr w:rsidR="002C0E1B" w:rsidRPr="002C0E1B" w:rsidTr="000B4F88">
        <w:trPr>
          <w:trHeight w:val="385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>ΚΛΕΙΣΤΟΣ ΠΙΝΑΚΑΣ Β/1: Τα αντιδραστήρια θα πρέπει να είναι συμβατά με τον υπάρχοντα αναλυτή/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sequencer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Illumina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NextSeq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 xml:space="preserve"> 2000  τον οποίο διαθέτει το ΕΙΠ</w:t>
            </w:r>
          </w:p>
        </w:tc>
      </w:tr>
      <w:tr w:rsidR="002C0E1B" w:rsidRPr="002C0E1B" w:rsidTr="000B4F88">
        <w:trPr>
          <w:trHeight w:val="385"/>
        </w:trPr>
        <w:tc>
          <w:tcPr>
            <w:tcW w:w="310" w:type="pct"/>
            <w:shd w:val="clear" w:color="CCFFFF" w:fill="DBEEF4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2877" w:type="pct"/>
            <w:shd w:val="clear" w:color="CCFFFF" w:fill="DBEEF4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ΠΡΟΔΙΑΓΡΑΦΕΣ</w:t>
            </w:r>
          </w:p>
        </w:tc>
        <w:tc>
          <w:tcPr>
            <w:tcW w:w="531" w:type="pct"/>
            <w:shd w:val="clear" w:color="CCFFFF" w:fill="DBEEF4"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>ΝΑΙ</w:t>
            </w:r>
          </w:p>
        </w:tc>
        <w:tc>
          <w:tcPr>
            <w:tcW w:w="481" w:type="pct"/>
            <w:shd w:val="clear" w:color="CCFFFF" w:fill="DBEEF4"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>ΟΧΙ</w:t>
            </w:r>
          </w:p>
        </w:tc>
        <w:tc>
          <w:tcPr>
            <w:tcW w:w="801" w:type="pct"/>
            <w:shd w:val="clear" w:color="CCFFFF" w:fill="DBEEF4"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>ΠΑΡΑΠΟΜΠΗ</w:t>
            </w:r>
          </w:p>
        </w:tc>
      </w:tr>
      <w:tr w:rsidR="002C0E1B" w:rsidRPr="002C0E1B" w:rsidTr="000B4F88">
        <w:trPr>
          <w:trHeight w:val="273"/>
        </w:trPr>
        <w:tc>
          <w:tcPr>
            <w:tcW w:w="310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1.1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Πλήρες κιτ προετοιμασίας</w:t>
            </w:r>
            <w:r w:rsidRPr="002C0E1B">
              <w:rPr>
                <w:rFonts w:asciiTheme="minorHAnsi" w:hAnsiTheme="minorHAnsi" w:cstheme="minorHAnsi"/>
                <w:color w:val="FF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βιβλιοθηκών για την ανάλυση ολόκληρου μεταγραφώματος (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RNA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-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Seq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) με εφαρμογή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αλληλούχισης νέας γενιάς (</w:t>
            </w:r>
            <w:r w:rsidRPr="002C0E1B">
              <w:rPr>
                <w:rFonts w:asciiTheme="minorHAnsi" w:hAnsiTheme="minorHAnsi" w:cstheme="minorHAnsi"/>
                <w:szCs w:val="22"/>
              </w:rPr>
              <w:t>NGS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, για μια ποικιλία ειδών και τύπων δειγμάτων, συμπεριλαμβανομένων ιστών (ανθρώπων, ποντικών, αρουαίων), φρέσκων και εμπεδωμένο σε παραφίνη (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FFPE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). Το αρχικό υλικό να είναι 0.1 – 1 μ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g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υψηλής καθαρότητας ολικό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RNA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.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To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κιτ να επιτρέπει την ανάλυση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RNA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που κωδικοποιεί 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>για</w:t>
            </w:r>
            <w:r w:rsidRPr="002C0E1B">
              <w:rPr>
                <w:rFonts w:asciiTheme="minorHAnsi" w:hAnsiTheme="minorHAnsi" w:cstheme="minorHAnsi"/>
                <w:color w:val="FF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πρωτεϊνες αλλά και πολλαπλών μορφών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RNA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που δεν κωδικοποιούν</w:t>
            </w:r>
            <w:r w:rsidRPr="002C0E1B">
              <w:rPr>
                <w:rFonts w:asciiTheme="minorHAnsi" w:hAnsiTheme="minorHAnsi" w:cstheme="minorHAnsi"/>
                <w:color w:val="FF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>για</w:t>
            </w:r>
            <w:r w:rsidRPr="002C0E1B">
              <w:rPr>
                <w:rFonts w:asciiTheme="minorHAnsi" w:hAnsiTheme="minorHAnsi" w:cstheme="minorHAnsi"/>
                <w:color w:val="FF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πρωτεϊνες, με ακριβή μέτρηση του 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>προσανατολισμού κλώνου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, ομοιόμορφη κάλυψη και ανίχνευση εναλλακτικών μεταγράφων, προσδιορισμό γονιδιακών αναδιατάξεων (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gene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fusions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) και προσδιορισμό ειδικής έκφρασης αλληλόμορφων. Το κιτ να δύναται να απομακρύνει τόσο το κυτταροπλασματικό όσο και το μιτοχονδριακό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rRNA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.  Το κιτ να είναι επίσης συμβατό με τα κιτ διπλών μοναδικών μοριακών ετικετών (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UD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)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index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,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IDT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for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Illumina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-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TruSeq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RNA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UD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Indexes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, τα οποία επιτρέπουν την πολυπλεξία έως και 96 δειγμάτων.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H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συνολική διαδικασία δημιουργίας βιβλιοθηκών να ολοκληρώνεται σε 11,5 ώρες, ενώ η ενασχόληση του χειριστή (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hands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on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time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) να μην  υπερβαίνει τις 6 ώρες.</w:t>
            </w:r>
          </w:p>
        </w:tc>
        <w:tc>
          <w:tcPr>
            <w:tcW w:w="53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  <w:tc>
          <w:tcPr>
            <w:tcW w:w="48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  <w:tc>
          <w:tcPr>
            <w:tcW w:w="80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</w:tr>
      <w:tr w:rsidR="002C0E1B" w:rsidRPr="002C0E1B" w:rsidTr="000B4F88">
        <w:trPr>
          <w:trHeight w:val="618"/>
        </w:trPr>
        <w:tc>
          <w:tcPr>
            <w:tcW w:w="310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1.2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Πλήρες κιτ δημιουργίας βιβλιοθηκών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miRNA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και μικρών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RNA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απευθείας από ολικό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RNA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, για οποιοδήποτε είδος, για εφαρμογή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NGS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σε αλληλουχητή του οίκου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Illumina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. Τα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MicroRNA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(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miRNAs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) που παράγονται κατόπιν επεξεργασίας από το ένζυμο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Dicer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να στοχεύονται αποτελεσματικά από τους συμπεριλαμβανόμενους τροποποιημένους προσαρμογείς. Το κιτ να επιτρέπει την πολυπλεκτική αλληλούχηση με την εισαγωγή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lastRenderedPageBreak/>
              <w:t>έως 48 μοναδικών μοριακών ετικετών (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indexes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), οι οποίες να περιλαμβάνονται στο κιτ των αντιδραστηρίων. Η διαδικασία προετοιμασίας βιβλιοθηκών να ολοκληρώνεται εντός μίας ημέρας, ενώ ο χρόνος ενασχόλησης χρήστη (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hands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-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on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time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) να μην ξεπερνά τις 4 ώρες. 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Να παρέχει επαρκή αντιδραστήρια για 24 δείγματα.</w:t>
            </w:r>
          </w:p>
        </w:tc>
        <w:tc>
          <w:tcPr>
            <w:tcW w:w="53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  <w:tc>
          <w:tcPr>
            <w:tcW w:w="48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  <w:tc>
          <w:tcPr>
            <w:tcW w:w="80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</w:tr>
      <w:tr w:rsidR="002C0E1B" w:rsidRPr="002C0E1B" w:rsidTr="000B4F88">
        <w:trPr>
          <w:trHeight w:val="3900"/>
        </w:trPr>
        <w:tc>
          <w:tcPr>
            <w:tcW w:w="310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>1.3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Πλήρες κιτ που να περιλαμβάνει όλα τα απαραίτητα αντιδραστήρια για την κλωνική ενίσχυση και την αλληλούχηση βιβλιοθήκης στο σύστημα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NextSeq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2000 του οίκου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illumina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, καθώς και την κυψελίδα ροής. Τα αντιδραστήρια να είναι έτοιμα προ-αναμεμειγμένα και τοποθετημένα σε ειδική κασέτα μίας χρήσης (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cartridge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), επιτρέποντας την ευκολότερη διαδικασία αλληλούχησης. Να επαρκούν για τουλάχιστον 100 κύκλους αλληλούχησης. Να φέρει σύστημα ταυτοποίησης με ραδιοσυχνότητα (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RFID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). Να έχει την δυνατότητα να παράγει τουλάχιστον 400 εκατομμύρια διαβάσματα μονής κατεύθυνσης ή 800 εκατομμύρια διαβάσματα διπλής κατεύθυνσης. Να πραγματοποιείται εντός της κυψελίδας ροής του συστήματος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NextSeq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2000 η διαδικασία του πολλαπλασιασμού των τμημάτων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προς αλληλούχηση, χωρίς να γίνεται καμία παρέμβαση από το χρήστη. Η προσφερόμενη κυψελίδα ροής να έχει προκατασκευασμένες οπές (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patterned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flowcell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), όπου συμβαίνει η ενίσχυση και η αλληλούχηση μέσω της χημείας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Xleap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-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SBS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που βασίζεται στην αποδεδειγμένη χημεία αλληλούχησης μέσω σύνθεσης (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SBS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). </w:t>
            </w:r>
          </w:p>
        </w:tc>
        <w:tc>
          <w:tcPr>
            <w:tcW w:w="53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  <w:tc>
          <w:tcPr>
            <w:tcW w:w="48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  <w:tc>
          <w:tcPr>
            <w:tcW w:w="80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</w:tr>
      <w:tr w:rsidR="002C0E1B" w:rsidRPr="002C0E1B" w:rsidTr="000B4F88">
        <w:trPr>
          <w:trHeight w:val="759"/>
        </w:trPr>
        <w:tc>
          <w:tcPr>
            <w:tcW w:w="310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1.4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Πλήρες κιτ που να περιλαμβάνει όλα τα απαραίτητα αντιδραστήρια για την κλωνική ενίσχυση και την αλληλούχηση βιβλιοθήκης στο σύστημα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NextSeq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2000 του οίκου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illumina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, καθώς και την κυψελίδα ροής. Τα αντιδραστήρια να είναι έτοιμα προ-αναμεμειγμένα και τοποθετημένα σε ειδική κασέτα μίας χρήσης (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cartridge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), επιτρέποντας την ευκολότερη διαδικασία αλληλούχησης. Να επαρκούν για τουλάχιστον 100 κύκλους αλληλούχησης. Να φέρει σύστημα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lastRenderedPageBreak/>
              <w:t>ταυτοποίησης με ραδιοσυχνότητα (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RFID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). Να έχει την δυνατότητα να παράγει τουλάχιστον 100 εκατομμύρια διαβάσματα μονής κατεύθυνσης ή 200 εκατομμύρια διαβάσματα διπλής κατεύθυνσης. Να πραγματοποιείται εντός της κυψελίδας ροής του συστήματος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NextSeq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2000 η διαδικασία του πολλαπλασιασμού των τμημάτων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προς αλληλούχηση, χωρίς να γίνεται καμία παρέμβαση από το χρήστη. Η προσφερόμενη κυψελίδα ροής να έχει προκατασκευασμένες οπές (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patterned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flowcell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), όπου συμβαίνει η ενίσχυση και η αλληλούχηση μέσω της χημείας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Xleap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-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SBS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που βασίζεται στην αποδεδειγμένη χημεία αλληλούχησης μέσω σύνθεσης (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SBS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). </w:t>
            </w:r>
          </w:p>
        </w:tc>
        <w:tc>
          <w:tcPr>
            <w:tcW w:w="53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  <w:tc>
          <w:tcPr>
            <w:tcW w:w="48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  <w:tc>
          <w:tcPr>
            <w:tcW w:w="80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</w:tr>
      <w:tr w:rsidR="002C0E1B" w:rsidRPr="002C0E1B" w:rsidTr="000B4F88">
        <w:trPr>
          <w:trHeight w:val="27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> </w:t>
            </w:r>
          </w:p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>ΚΛΕΙΣΤΟΣ ΠΙΝΑΚΑΣ Β/2: Τα αντιδραστήρια θα πρέπει να είναι συμβατά με τον υπάρχοντα αναλυτή/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sequencer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Ion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Torrent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S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 xml:space="preserve">5 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system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 xml:space="preserve">  τον οποίο διαθέτει το ΕΙΠ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 </w:t>
            </w:r>
          </w:p>
        </w:tc>
      </w:tr>
      <w:tr w:rsidR="002C0E1B" w:rsidRPr="002C0E1B" w:rsidTr="000B4F88">
        <w:trPr>
          <w:trHeight w:val="324"/>
        </w:trPr>
        <w:tc>
          <w:tcPr>
            <w:tcW w:w="310" w:type="pct"/>
            <w:shd w:val="clear" w:color="CCFFFF" w:fill="DBEEF4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2877" w:type="pct"/>
            <w:shd w:val="clear" w:color="CCFFFF" w:fill="DBEEF4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ΠΡΟΔΙΑΓΡΑΦΕΣ</w:t>
            </w:r>
          </w:p>
        </w:tc>
        <w:tc>
          <w:tcPr>
            <w:tcW w:w="531" w:type="pct"/>
            <w:shd w:val="clear" w:color="CCFFFF" w:fill="DBEEF4"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>ΝΑΙ</w:t>
            </w:r>
          </w:p>
        </w:tc>
        <w:tc>
          <w:tcPr>
            <w:tcW w:w="481" w:type="pct"/>
            <w:shd w:val="clear" w:color="CCFFFF" w:fill="DBEEF4"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>ΟΧΙ</w:t>
            </w:r>
          </w:p>
        </w:tc>
        <w:tc>
          <w:tcPr>
            <w:tcW w:w="801" w:type="pct"/>
            <w:shd w:val="clear" w:color="CCFFFF" w:fill="DBEEF4"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>ΠΑΡΑΠΟΜΠΗ</w:t>
            </w:r>
          </w:p>
        </w:tc>
      </w:tr>
      <w:tr w:rsidR="002C0E1B" w:rsidRPr="002C0E1B" w:rsidTr="000B4F88">
        <w:trPr>
          <w:trHeight w:val="1690"/>
        </w:trPr>
        <w:tc>
          <w:tcPr>
            <w:tcW w:w="310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2.1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Ion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510 &amp;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Ion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520 &amp;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Ion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530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Kit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–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Chef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(1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sequencing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run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per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initialization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)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  <w:t>Να περιέχει τα αντιδραστήρια και τα υλικά που απαιτούνται για την εκτέλεση των ακόλουθων βημάτων στη ροή εργασίας αλληλούχισης επόμενης γενιας: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  <w:t xml:space="preserve">Προετοιμασία εμπλουτισμένων,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template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-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positive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Ion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Sphere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Particles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και φορτωμα σε ένα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Ion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510/520/530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Chip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χρησιμοποιώντας το συστημα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Ion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Chef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για αλληλούχιση σε πλατφόρμες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GeneStudio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5. Η προετοιμασία να απαιτεί ελάχιστο χρόνο απασχόλησης του χρήστη, λιγότερο από 15 λεπτά.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  <w:t xml:space="preserve">Κάθε κιτ να περιέχει όλα τα υλικά που απαιτούνται για το φόρτωμα και την αλληλούχιση 8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chips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και  να είναι συμβατό για χρήση με βιβλιοθήκες μέχρι 400 βάσεων.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Συσκευασία 8 αντιδράσεις</w:t>
            </w:r>
          </w:p>
        </w:tc>
        <w:tc>
          <w:tcPr>
            <w:tcW w:w="53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8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80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2C0E1B" w:rsidRPr="002C0E1B" w:rsidTr="000B4F88">
        <w:trPr>
          <w:trHeight w:val="959"/>
        </w:trPr>
        <w:tc>
          <w:tcPr>
            <w:tcW w:w="310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2.2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Ion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520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Chip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Kit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Chip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κατάλληλα για χρήση με τα συστήματα της σειράς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Ion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5.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  <w:t>Μπορούν να δημιουργήσουν 3-6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M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reads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ανά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chip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, διαβάζοντας αλληλουχίες έως και 600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bp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.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Συσκευασία 8 chips</w:t>
            </w:r>
          </w:p>
        </w:tc>
        <w:tc>
          <w:tcPr>
            <w:tcW w:w="53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8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80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2C0E1B" w:rsidRPr="002C0E1B" w:rsidTr="000B4F88">
        <w:trPr>
          <w:trHeight w:val="3015"/>
        </w:trPr>
        <w:tc>
          <w:tcPr>
            <w:tcW w:w="310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>2.3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Kit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για την προετοιμασία υψηλής ποιότητας βιβλιοθηκών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για προσδιορισμό αλληλουχίας στο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Ion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PGM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. Το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Kit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να παράγει υψηλής ποιότητας βιβλιοθήκες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. Το κιτ να επιτρέπει την ολοκλήρωση της προετοιμασίας της βιβλιοθήκης σε μόλις 2 ώρες για τις βιβλιοθήκες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gDNA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και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amplicon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όταν συνδυάζεται είτε με φυσικές μεθόδους διάτμησης είτε με την τεχνολογία ενζυματικού κατακερματισμού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Ion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Shear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. Οι βιβλιοθήκες υψηλής ποιότητας να μπορούν να επιτευχθούν με μόλις 100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ng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εισόδου. Το κιτ βιβλιοθήκης θραύσματος να περιέχει αντιδραστήρια προετοιμασίας δειγμάτων για κατασκευή βιβλιοθήκης έως και 20 βιβλιοθηκών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(ανάλογα με τον τύπο και την ποσότητα του εισερχόμενου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) για την αλληλούχιση με τεχνολογία ημιαγωγών.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Να προσφέρεται σε συσκευασία 10 αντιδράσεων.</w:t>
            </w:r>
          </w:p>
        </w:tc>
        <w:tc>
          <w:tcPr>
            <w:tcW w:w="53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8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80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2C0E1B" w:rsidRPr="002C0E1B" w:rsidTr="000B4F88">
        <w:trPr>
          <w:trHeight w:val="749"/>
        </w:trPr>
        <w:tc>
          <w:tcPr>
            <w:tcW w:w="310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2.4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Gel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Ηλεκτροφορησης, 2%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agarose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, κατάλληλο για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size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selection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, συμβατό με το σύστημα ηλεκτροφόρησης τύπος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Egel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της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Invitrogen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. 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Συσκευασία 10gels</w:t>
            </w:r>
          </w:p>
        </w:tc>
        <w:tc>
          <w:tcPr>
            <w:tcW w:w="53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8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80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2C0E1B" w:rsidRPr="002C0E1B" w:rsidTr="002C0E1B">
        <w:trPr>
          <w:trHeight w:val="1076"/>
        </w:trPr>
        <w:tc>
          <w:tcPr>
            <w:tcW w:w="310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2.5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lef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Το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kit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να πραγματοποιεί γρήγορες, περιεκτικές και ευρείας κλίμακας αναλύσεις μικτών μικροβιακών πληθυσμών με τεχνολογία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Ion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Next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generation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sequencing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. Το κιτ να επιτρέπει την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PCR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ενίσχυση υπερμεταβλητών περιοχών του γονιδίου 16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rDNA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από βακτήρια. Το κιτ να περιλαμβάνει 2 σύνολα εκκινητών που μπορούν να χρησιμοποιηθούν για την ενίσχυση των αντίστοιχων υπερμεταβλητών περιοχών του γονιδίου 16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rDNA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σε βακτήρια: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  <w:t xml:space="preserve">• Σετ εκκινητων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V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2-4-8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  <w:t xml:space="preserve">• Σετ εκκινητών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V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3-6,7-9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  <w:t>Αυτά τα ολοκληρωμένα σύνολα εκκινητών να επιτρέπουν την ακριβή ανίχνευση και ταυτοποίηση ενός ευρέος φάσματος βακτηρίων μέχρι το επίπεδο γένους ή είδους.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Να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περιλαμβάνει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: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br/>
              <w:t>• DNA dilution buffer (7 mL)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br/>
              <w:t>• 2 tubes 2X environmental master mix (0.8 mL per tube)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br/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lastRenderedPageBreak/>
              <w:t>• E. coli DNA control (40 µL)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br/>
              <w:t>• Negative control water (1 mL)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br/>
              <w:t>• 16S primer set V2-4-8 (300 µL)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br/>
              <w:t>• 16S primer set V3-6,7-9 (300 µL)</w:t>
            </w:r>
          </w:p>
        </w:tc>
        <w:tc>
          <w:tcPr>
            <w:tcW w:w="53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  <w:tc>
          <w:tcPr>
            <w:tcW w:w="48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  <w:tc>
          <w:tcPr>
            <w:tcW w:w="80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</w:tr>
      <w:tr w:rsidR="002C0E1B" w:rsidRPr="002C0E1B" w:rsidTr="000B4F88">
        <w:trPr>
          <w:trHeight w:val="1484"/>
        </w:trPr>
        <w:tc>
          <w:tcPr>
            <w:tcW w:w="310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>2.6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lef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Ion Universal Library Quantitation Kit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br/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Το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κιτ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να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περιλαμβάνει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: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br/>
              <w:t xml:space="preserve">• 2 tubes TaqMan Fast Universal Master Mix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br/>
              <w:t>• Assay mix (250 µL)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br/>
              <w:t>• 2 tubes E. coli DH10B control library (25 µL per tube)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br/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Συσκευασία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250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αντιδράσεις</w:t>
            </w:r>
          </w:p>
        </w:tc>
        <w:tc>
          <w:tcPr>
            <w:tcW w:w="53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  <w:tc>
          <w:tcPr>
            <w:tcW w:w="48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  <w:tc>
          <w:tcPr>
            <w:tcW w:w="80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</w:tr>
      <w:tr w:rsidR="002C0E1B" w:rsidRPr="002C0E1B" w:rsidTr="000B4F88">
        <w:trPr>
          <w:trHeight w:val="131"/>
        </w:trPr>
        <w:tc>
          <w:tcPr>
            <w:tcW w:w="310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2.7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Μίγμα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TaqMan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qPCR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και ένα πρότυπο βιβλιοθήκης για την ανίχνευση και τον ποσοτικό προσδιορισμό των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Femtomolar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ποσοτήτων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Ion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fragment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βιβλιοθηκών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  <w:t>Συσκευασία 250 αντιδράσεις</w:t>
            </w:r>
          </w:p>
        </w:tc>
        <w:tc>
          <w:tcPr>
            <w:tcW w:w="53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  <w:tc>
          <w:tcPr>
            <w:tcW w:w="48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  <w:tc>
          <w:tcPr>
            <w:tcW w:w="80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</w:tr>
      <w:tr w:rsidR="002C0E1B" w:rsidRPr="002C0E1B" w:rsidTr="000B4F88">
        <w:trPr>
          <w:trHeight w:val="96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>ΚΛΕΙΣΤΟΣ ΠΙΝΑΚΑΣ Β/3: Τα αντιδραστήρια θα πρέπει να είναι συμβατά με τον υπάρχοντα αναλυτή/sequencer MinION NANOPORE τον οποίο διαθέτει το ΕΙΠ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 </w:t>
            </w:r>
          </w:p>
        </w:tc>
      </w:tr>
      <w:tr w:rsidR="002C0E1B" w:rsidRPr="002C0E1B" w:rsidTr="000B4F88">
        <w:trPr>
          <w:trHeight w:val="276"/>
        </w:trPr>
        <w:tc>
          <w:tcPr>
            <w:tcW w:w="310" w:type="pct"/>
            <w:shd w:val="clear" w:color="CCFFFF" w:fill="DBEEF4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2877" w:type="pct"/>
            <w:shd w:val="clear" w:color="CCFFFF" w:fill="DBEEF4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ΠΡΟΔΙΑΓΡΑΦΕΣ</w:t>
            </w:r>
          </w:p>
        </w:tc>
        <w:tc>
          <w:tcPr>
            <w:tcW w:w="531" w:type="pct"/>
            <w:shd w:val="clear" w:color="CCFFFF" w:fill="DBEEF4"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>ΝΑΙ</w:t>
            </w:r>
          </w:p>
        </w:tc>
        <w:tc>
          <w:tcPr>
            <w:tcW w:w="481" w:type="pct"/>
            <w:shd w:val="clear" w:color="CCFFFF" w:fill="DBEEF4"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>ΟΧΙ</w:t>
            </w:r>
          </w:p>
        </w:tc>
        <w:tc>
          <w:tcPr>
            <w:tcW w:w="801" w:type="pct"/>
            <w:shd w:val="clear" w:color="CCFFFF" w:fill="DBEEF4"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>ΠΑΡΑΠΟΜΠΗ</w:t>
            </w:r>
          </w:p>
        </w:tc>
      </w:tr>
      <w:tr w:rsidR="002C0E1B" w:rsidRPr="002C0E1B" w:rsidTr="002C0E1B">
        <w:trPr>
          <w:trHeight w:val="1217"/>
        </w:trPr>
        <w:tc>
          <w:tcPr>
            <w:tcW w:w="310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3.1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szCs w:val="22"/>
              </w:rPr>
            </w:pP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Kit </w:t>
            </w:r>
            <w:r w:rsidRPr="002C0E1B">
              <w:rPr>
                <w:rFonts w:asciiTheme="minorHAnsi" w:hAnsiTheme="minorHAnsi" w:cstheme="minorHAnsi"/>
                <w:szCs w:val="22"/>
              </w:rPr>
              <w:t>προετοιμασίας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δειγμάτων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DNA </w:t>
            </w:r>
            <w:r w:rsidRPr="002C0E1B">
              <w:rPr>
                <w:rFonts w:asciiTheme="minorHAnsi" w:hAnsiTheme="minorHAnsi" w:cstheme="minorHAnsi"/>
                <w:szCs w:val="22"/>
              </w:rPr>
              <w:t>για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NGS </w:t>
            </w:r>
            <w:r w:rsidRPr="002C0E1B">
              <w:rPr>
                <w:rFonts w:asciiTheme="minorHAnsi" w:hAnsiTheme="minorHAnsi" w:cstheme="minorHAnsi"/>
                <w:szCs w:val="22"/>
              </w:rPr>
              <w:t>σε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συσκευές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Oxford Nanopore Technologies:  MinION®, GridION®, PromethION®, Flongle®.  </w:t>
            </w:r>
            <w:r w:rsidRPr="002C0E1B">
              <w:rPr>
                <w:rFonts w:asciiTheme="minorHAnsi" w:hAnsiTheme="minorHAnsi" w:cstheme="minorHAnsi"/>
                <w:szCs w:val="22"/>
              </w:rPr>
              <w:t>Να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περιλαμβάνει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τα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απαραίτητα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αντιδραστήρια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για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DNA repair, end prep &amp; ligation, </w:t>
            </w:r>
            <w:r w:rsidRPr="002C0E1B">
              <w:rPr>
                <w:rFonts w:asciiTheme="minorHAnsi" w:hAnsiTheme="minorHAnsi" w:cstheme="minorHAnsi"/>
                <w:szCs w:val="22"/>
              </w:rPr>
              <w:t>στις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κατάλληλες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ποσότητες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για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την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εφαρμογή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πρωτόκολλων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singleplex ligation sequencing library prep  (SQK-LSK114) </w:t>
            </w:r>
            <w:r w:rsidRPr="002C0E1B">
              <w:rPr>
                <w:rFonts w:asciiTheme="minorHAnsi" w:hAnsiTheme="minorHAnsi" w:cstheme="minorHAnsi"/>
                <w:szCs w:val="22"/>
              </w:rPr>
              <w:t>της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ΟΝΤ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.  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Να περιλαμβάνει τα εξής:  </w:t>
            </w:r>
            <w:r w:rsidRPr="002C0E1B">
              <w:rPr>
                <w:rFonts w:asciiTheme="minorHAnsi" w:hAnsiTheme="minorHAnsi" w:cstheme="minorHAnsi"/>
                <w:szCs w:val="22"/>
              </w:rPr>
              <w:t>FFPE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Repair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Mix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,  </w:t>
            </w:r>
            <w:r w:rsidRPr="002C0E1B">
              <w:rPr>
                <w:rFonts w:asciiTheme="minorHAnsi" w:hAnsiTheme="minorHAnsi" w:cstheme="minorHAnsi"/>
                <w:szCs w:val="22"/>
              </w:rPr>
              <w:t>FFPE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Repair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Buffer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,  </w:t>
            </w:r>
            <w:r w:rsidRPr="002C0E1B">
              <w:rPr>
                <w:rFonts w:asciiTheme="minorHAnsi" w:hAnsiTheme="minorHAnsi" w:cstheme="minorHAnsi"/>
                <w:szCs w:val="22"/>
              </w:rPr>
              <w:t>End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Prep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Enzyme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Mix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,  </w:t>
            </w:r>
            <w:r w:rsidRPr="002C0E1B">
              <w:rPr>
                <w:rFonts w:asciiTheme="minorHAnsi" w:hAnsiTheme="minorHAnsi" w:cstheme="minorHAnsi"/>
                <w:szCs w:val="22"/>
              </w:rPr>
              <w:t>Salt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>-</w:t>
            </w:r>
            <w:r w:rsidRPr="002C0E1B">
              <w:rPr>
                <w:rFonts w:asciiTheme="minorHAnsi" w:hAnsiTheme="minorHAnsi" w:cstheme="minorHAnsi"/>
                <w:szCs w:val="22"/>
              </w:rPr>
              <w:t>T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4® </w:t>
            </w:r>
            <w:r w:rsidRPr="002C0E1B">
              <w:rPr>
                <w:rFonts w:asciiTheme="minorHAnsi" w:hAnsiTheme="minorHAnsi" w:cstheme="minorHAnsi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Ligase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(παραλλαγή της </w:t>
            </w:r>
            <w:r w:rsidRPr="002C0E1B">
              <w:rPr>
                <w:rFonts w:asciiTheme="minorHAnsi" w:hAnsiTheme="minorHAnsi" w:cstheme="minorHAnsi"/>
                <w:szCs w:val="22"/>
              </w:rPr>
              <w:t>T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4 </w:t>
            </w:r>
            <w:r w:rsidRPr="002C0E1B">
              <w:rPr>
                <w:rFonts w:asciiTheme="minorHAnsi" w:hAnsiTheme="minorHAnsi" w:cstheme="minorHAnsi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ligase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με αντοχή σε συνθήκες υψηλής συγκέντρωσης αλάτων έως και 300 </w:t>
            </w:r>
            <w:r w:rsidRPr="002C0E1B">
              <w:rPr>
                <w:rFonts w:asciiTheme="minorHAnsi" w:hAnsiTheme="minorHAnsi" w:cstheme="minorHAnsi"/>
                <w:szCs w:val="22"/>
              </w:rPr>
              <w:t>mM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χωρίς καμία μείωση της ενεργότητάς της). </w:t>
            </w:r>
            <w:r w:rsidRPr="002C0E1B">
              <w:rPr>
                <w:rFonts w:asciiTheme="minorHAnsi" w:hAnsiTheme="minorHAnsi" w:cstheme="minorHAnsi"/>
                <w:szCs w:val="22"/>
              </w:rPr>
              <w:t>Συσκευασία: 24 αντιδράσεις</w:t>
            </w:r>
          </w:p>
        </w:tc>
        <w:tc>
          <w:tcPr>
            <w:tcW w:w="53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48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80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2C0E1B" w:rsidRPr="002C0E1B" w:rsidTr="000B4F88">
        <w:trPr>
          <w:trHeight w:val="1185"/>
        </w:trPr>
        <w:tc>
          <w:tcPr>
            <w:tcW w:w="310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3.2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Ανασυνδυασμένη θερμοανθεκτική </w:t>
            </w:r>
            <w:r w:rsidRPr="002C0E1B">
              <w:rPr>
                <w:rFonts w:asciiTheme="minorHAnsi" w:hAnsiTheme="minorHAnsi" w:cstheme="minorHAnsi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πολυμεράση  με δράση 3´→ 5´ εξωνουκλεάσης και  συζευγμένη στην </w:t>
            </w:r>
            <w:r w:rsidRPr="002C0E1B">
              <w:rPr>
                <w:rFonts w:asciiTheme="minorHAnsi" w:hAnsiTheme="minorHAnsi" w:cstheme="minorHAnsi"/>
                <w:szCs w:val="22"/>
              </w:rPr>
              <w:t>Sso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>7</w:t>
            </w:r>
            <w:r w:rsidRPr="002C0E1B">
              <w:rPr>
                <w:rFonts w:asciiTheme="minorHAnsi" w:hAnsiTheme="minorHAnsi" w:cstheme="minorHAnsi"/>
                <w:szCs w:val="22"/>
              </w:rPr>
              <w:t>d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περιοχή, η οποία ενισχύει την παραγωγικότητα του ενζύμου, για υψηλής απόδοσης ενίσχυση  μεγάλων τμημάτων </w:t>
            </w:r>
            <w:r w:rsidRPr="002C0E1B">
              <w:rPr>
                <w:rFonts w:asciiTheme="minorHAnsi" w:hAnsiTheme="minorHAnsi" w:cstheme="minorHAnsi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και </w:t>
            </w:r>
            <w:r w:rsidRPr="002C0E1B">
              <w:rPr>
                <w:rFonts w:asciiTheme="minorHAnsi" w:hAnsiTheme="minorHAnsi" w:cstheme="minorHAnsi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περιοχών με υψηλή περιεκτικότητα σε </w:t>
            </w:r>
            <w:r w:rsidRPr="002C0E1B">
              <w:rPr>
                <w:rFonts w:asciiTheme="minorHAnsi" w:hAnsiTheme="minorHAnsi" w:cstheme="minorHAnsi"/>
                <w:szCs w:val="22"/>
              </w:rPr>
              <w:t>GC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/ΑΤ. Να είναι υψηλής πιστότητας, 280 φορές καλύτερη από της </w:t>
            </w:r>
            <w:r w:rsidRPr="002C0E1B">
              <w:rPr>
                <w:rFonts w:asciiTheme="minorHAnsi" w:hAnsiTheme="minorHAnsi" w:cstheme="minorHAnsi"/>
                <w:szCs w:val="22"/>
              </w:rPr>
              <w:t>Taq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lastRenderedPageBreak/>
              <w:t>DNA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Polymerase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με </w:t>
            </w:r>
            <w:r w:rsidRPr="002C0E1B">
              <w:rPr>
                <w:rFonts w:asciiTheme="minorHAnsi" w:hAnsiTheme="minorHAnsi" w:cstheme="minorHAnsi"/>
                <w:szCs w:val="22"/>
              </w:rPr>
              <w:t>error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rate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&lt; 0.44 </w:t>
            </w:r>
            <w:r w:rsidRPr="002C0E1B">
              <w:rPr>
                <w:rFonts w:asciiTheme="minorHAnsi" w:hAnsiTheme="minorHAnsi" w:cstheme="minorHAnsi"/>
                <w:szCs w:val="22"/>
              </w:rPr>
              <w:t>x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10-6.                  </w:t>
            </w:r>
            <w:r w:rsidRPr="002C0E1B">
              <w:rPr>
                <w:rFonts w:asciiTheme="minorHAnsi" w:hAnsiTheme="minorHAnsi" w:cstheme="minorHAnsi"/>
                <w:szCs w:val="22"/>
              </w:rPr>
              <w:t>N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α είναι υψηλής ταχύτητας,  να δύναται να ενισχύει </w:t>
            </w:r>
            <w:r w:rsidRPr="002C0E1B">
              <w:rPr>
                <w:rFonts w:asciiTheme="minorHAnsi" w:hAnsiTheme="minorHAnsi" w:cstheme="minorHAnsi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templates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έως 20 </w:t>
            </w:r>
            <w:r w:rsidRPr="002C0E1B">
              <w:rPr>
                <w:rFonts w:asciiTheme="minorHAnsi" w:hAnsiTheme="minorHAnsi" w:cstheme="minorHAnsi"/>
                <w:szCs w:val="22"/>
              </w:rPr>
              <w:t>kb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και να έχει δυνατότητα ενσωμάτωσης των νουκλεοτιδίων 5</w:t>
            </w:r>
            <w:r w:rsidRPr="002C0E1B">
              <w:rPr>
                <w:rFonts w:asciiTheme="minorHAnsi" w:hAnsiTheme="minorHAnsi" w:cstheme="minorHAnsi"/>
                <w:szCs w:val="22"/>
              </w:rPr>
              <w:t>mC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>, 5</w:t>
            </w:r>
            <w:r w:rsidRPr="002C0E1B">
              <w:rPr>
                <w:rFonts w:asciiTheme="minorHAnsi" w:hAnsiTheme="minorHAnsi" w:cstheme="minorHAnsi"/>
                <w:szCs w:val="22"/>
              </w:rPr>
              <w:t>hmC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>, 6</w:t>
            </w:r>
            <w:r w:rsidRPr="002C0E1B">
              <w:rPr>
                <w:rFonts w:asciiTheme="minorHAnsi" w:hAnsiTheme="minorHAnsi" w:cstheme="minorHAnsi"/>
                <w:szCs w:val="22"/>
              </w:rPr>
              <w:t>mA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. 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br/>
              <w:t>Να παρέχεται με ρυθμιστικό  διάλυμα αντίδρασης  (5</w:t>
            </w:r>
            <w:r w:rsidRPr="002C0E1B">
              <w:rPr>
                <w:rFonts w:asciiTheme="minorHAnsi" w:hAnsiTheme="minorHAnsi" w:cstheme="minorHAnsi"/>
                <w:szCs w:val="22"/>
              </w:rPr>
              <w:t>x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) το οποίο να περιέχει σε τελική συγκέντρωση (1Χ) 2 </w:t>
            </w:r>
            <w:r w:rsidRPr="002C0E1B">
              <w:rPr>
                <w:rFonts w:asciiTheme="minorHAnsi" w:hAnsiTheme="minorHAnsi" w:cstheme="minorHAnsi"/>
                <w:szCs w:val="22"/>
              </w:rPr>
              <w:t>mM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ιόντα </w:t>
            </w:r>
            <w:r w:rsidRPr="002C0E1B">
              <w:rPr>
                <w:rFonts w:asciiTheme="minorHAnsi" w:hAnsiTheme="minorHAnsi" w:cstheme="minorHAnsi"/>
                <w:szCs w:val="22"/>
              </w:rPr>
              <w:t>Mg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>++ και επιπλέον  με  ενισχυτικό διάλυμα αντίδρασης (5</w:t>
            </w:r>
            <w:r w:rsidRPr="002C0E1B">
              <w:rPr>
                <w:rFonts w:asciiTheme="minorHAnsi" w:hAnsiTheme="minorHAnsi" w:cstheme="minorHAnsi"/>
                <w:szCs w:val="22"/>
              </w:rPr>
              <w:t>x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) για χρήση σε </w:t>
            </w:r>
            <w:r w:rsidRPr="002C0E1B">
              <w:rPr>
                <w:rFonts w:asciiTheme="minorHAnsi" w:hAnsiTheme="minorHAnsi" w:cstheme="minorHAnsi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templates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με  ποσοστό σε </w:t>
            </w:r>
            <w:r w:rsidRPr="002C0E1B">
              <w:rPr>
                <w:rFonts w:asciiTheme="minorHAnsi" w:hAnsiTheme="minorHAnsi" w:cstheme="minorHAnsi"/>
                <w:szCs w:val="22"/>
              </w:rPr>
              <w:t>GC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≥ 65%.  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br/>
            </w:r>
            <w:r w:rsidRPr="002C0E1B">
              <w:rPr>
                <w:rFonts w:asciiTheme="minorHAnsi" w:hAnsiTheme="minorHAnsi" w:cstheme="minorHAnsi"/>
                <w:szCs w:val="22"/>
              </w:rPr>
              <w:t>Να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είναι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κατάλληλη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για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High-fidelity PCR, Cloning, Long </w:t>
            </w:r>
            <w:r w:rsidRPr="002C0E1B">
              <w:rPr>
                <w:rFonts w:asciiTheme="minorHAnsi" w:hAnsiTheme="minorHAnsi" w:cstheme="minorHAnsi"/>
                <w:szCs w:val="22"/>
              </w:rPr>
              <w:t>ή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t xml:space="preserve"> Difficult Amplification, High-throughput PCR.</w:t>
            </w:r>
            <w:r w:rsidRPr="002C0E1B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Να απαιτείται 1 </w:t>
            </w:r>
            <w:r w:rsidRPr="002C0E1B">
              <w:rPr>
                <w:rFonts w:asciiTheme="minorHAnsi" w:hAnsiTheme="minorHAnsi" w:cstheme="minorHAnsi"/>
                <w:szCs w:val="22"/>
              </w:rPr>
              <w:t>U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(μονάδα) ενζύμου ανά 50 μ</w:t>
            </w:r>
            <w:r w:rsidRPr="002C0E1B">
              <w:rPr>
                <w:rFonts w:asciiTheme="minorHAnsi" w:hAnsiTheme="minorHAnsi" w:cstheme="minorHAnsi"/>
                <w:szCs w:val="22"/>
              </w:rPr>
              <w:t>l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αντίδρασης </w:t>
            </w:r>
            <w:r w:rsidRPr="002C0E1B">
              <w:rPr>
                <w:rFonts w:asciiTheme="minorHAnsi" w:hAnsiTheme="minorHAnsi" w:cstheme="minorHAnsi"/>
                <w:szCs w:val="22"/>
              </w:rPr>
              <w:t>PCR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. Συσκευασία: 100 </w:t>
            </w:r>
            <w:r w:rsidRPr="002C0E1B">
              <w:rPr>
                <w:rFonts w:asciiTheme="minorHAnsi" w:hAnsiTheme="minorHAnsi" w:cstheme="minorHAnsi"/>
                <w:szCs w:val="22"/>
              </w:rPr>
              <w:t>U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 - </w:t>
            </w:r>
            <w:r w:rsidRPr="002C0E1B">
              <w:rPr>
                <w:rFonts w:asciiTheme="minorHAnsi" w:hAnsiTheme="minorHAnsi" w:cstheme="minorHAnsi"/>
                <w:szCs w:val="22"/>
              </w:rPr>
              <w:t>Conc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. 2,000 </w:t>
            </w:r>
            <w:r w:rsidRPr="002C0E1B">
              <w:rPr>
                <w:rFonts w:asciiTheme="minorHAnsi" w:hAnsiTheme="minorHAnsi" w:cstheme="minorHAnsi"/>
                <w:szCs w:val="22"/>
              </w:rPr>
              <w:t>units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>/</w:t>
            </w:r>
            <w:r w:rsidRPr="002C0E1B">
              <w:rPr>
                <w:rFonts w:asciiTheme="minorHAnsi" w:hAnsiTheme="minorHAnsi" w:cstheme="minorHAnsi"/>
                <w:szCs w:val="22"/>
              </w:rPr>
              <w:t>ml</w:t>
            </w:r>
          </w:p>
        </w:tc>
        <w:tc>
          <w:tcPr>
            <w:tcW w:w="53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48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80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2C0E1B" w:rsidRPr="002C0E1B" w:rsidTr="000B4F88">
        <w:trPr>
          <w:trHeight w:val="3720"/>
        </w:trPr>
        <w:tc>
          <w:tcPr>
            <w:tcW w:w="310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>3.3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2C0E1B">
              <w:rPr>
                <w:rFonts w:asciiTheme="minorHAnsi" w:hAnsiTheme="minorHAnsi" w:cstheme="minorHAnsi"/>
                <w:szCs w:val="22"/>
              </w:rPr>
              <w:t>Kit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 ταχείας απομόνωσης γενωμικού </w:t>
            </w:r>
            <w:r w:rsidRPr="002C0E1B">
              <w:rPr>
                <w:rFonts w:asciiTheme="minorHAnsi" w:hAnsiTheme="minorHAnsi" w:cstheme="minorHAnsi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από δείγματα  ιστών  και βακτήρια ή ζύμες σε χρόνο που δεν ξεπερνά τα 90 λεπτά.    Το </w:t>
            </w:r>
            <w:r w:rsidRPr="002C0E1B">
              <w:rPr>
                <w:rFonts w:asciiTheme="minorHAnsi" w:hAnsiTheme="minorHAnsi" w:cstheme="minorHAnsi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που απομονώνεται να είναι  υψηλής ποιότητας  [1.8-1.9 (260/280) </w:t>
            </w:r>
            <w:r w:rsidRPr="002C0E1B">
              <w:rPr>
                <w:rFonts w:asciiTheme="minorHAnsi" w:hAnsiTheme="minorHAnsi" w:cstheme="minorHAnsi"/>
                <w:szCs w:val="22"/>
              </w:rPr>
              <w:t>for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tissue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and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bacteria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, 2.1-2.5 (260/230) </w:t>
            </w:r>
            <w:r w:rsidRPr="002C0E1B">
              <w:rPr>
                <w:rFonts w:asciiTheme="minorHAnsi" w:hAnsiTheme="minorHAnsi" w:cstheme="minorHAnsi"/>
                <w:szCs w:val="22"/>
              </w:rPr>
              <w:t>for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tissue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, </w:t>
            </w:r>
            <w:r w:rsidRPr="002C0E1B">
              <w:rPr>
                <w:rFonts w:asciiTheme="minorHAnsi" w:hAnsiTheme="minorHAnsi" w:cstheme="minorHAnsi"/>
                <w:szCs w:val="22"/>
              </w:rPr>
              <w:t>and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2.1-2.2 (260/230) </w:t>
            </w:r>
            <w:r w:rsidRPr="002C0E1B">
              <w:rPr>
                <w:rFonts w:asciiTheme="minorHAnsi" w:hAnsiTheme="minorHAnsi" w:cstheme="minorHAnsi"/>
                <w:szCs w:val="22"/>
              </w:rPr>
              <w:t>for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bacteria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], απαλλαγμένο από </w:t>
            </w:r>
            <w:r w:rsidRPr="002C0E1B">
              <w:rPr>
                <w:rFonts w:asciiTheme="minorHAnsi" w:hAnsiTheme="minorHAnsi" w:cstheme="minorHAnsi"/>
                <w:szCs w:val="22"/>
              </w:rPr>
              <w:t>RNases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καθώς και μεγάλου μοριακού βάρους ώστε να δύναται να χρησιμοποιηθεί σε </w:t>
            </w:r>
            <w:r w:rsidRPr="002C0E1B">
              <w:rPr>
                <w:rFonts w:asciiTheme="minorHAnsi" w:hAnsiTheme="minorHAnsi" w:cstheme="minorHAnsi"/>
                <w:szCs w:val="22"/>
              </w:rPr>
              <w:t>long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>-</w:t>
            </w:r>
            <w:r w:rsidRPr="002C0E1B">
              <w:rPr>
                <w:rFonts w:asciiTheme="minorHAnsi" w:hAnsiTheme="minorHAnsi" w:cstheme="minorHAnsi"/>
                <w:szCs w:val="22"/>
              </w:rPr>
              <w:t>read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sequencing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(ΟΝΤ).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br/>
              <w:t xml:space="preserve">Το κιτ να περιλαμβάνει ράδβους ομογενοποίησης ιστών, το διάλυμα λύσης και επιπλέον διαλύματα </w:t>
            </w:r>
            <w:r w:rsidRPr="002C0E1B">
              <w:rPr>
                <w:rFonts w:asciiTheme="minorHAnsi" w:hAnsiTheme="minorHAnsi" w:cstheme="minorHAnsi"/>
                <w:szCs w:val="22"/>
              </w:rPr>
              <w:t>proteinase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K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&amp; </w:t>
            </w:r>
            <w:r w:rsidRPr="002C0E1B">
              <w:rPr>
                <w:rFonts w:asciiTheme="minorHAnsi" w:hAnsiTheme="minorHAnsi" w:cstheme="minorHAnsi"/>
                <w:szCs w:val="22"/>
              </w:rPr>
              <w:t>RNase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σε συγκέντρωση 20 </w:t>
            </w:r>
            <w:r w:rsidRPr="002C0E1B">
              <w:rPr>
                <w:rFonts w:asciiTheme="minorHAnsi" w:hAnsiTheme="minorHAnsi" w:cstheme="minorHAnsi"/>
                <w:szCs w:val="22"/>
              </w:rPr>
              <w:t>mg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>/</w:t>
            </w:r>
            <w:r w:rsidRPr="002C0E1B">
              <w:rPr>
                <w:rFonts w:asciiTheme="minorHAnsi" w:hAnsiTheme="minorHAnsi" w:cstheme="minorHAnsi"/>
                <w:szCs w:val="22"/>
              </w:rPr>
              <w:t>ml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έκαστο, διάλυμα διαχωρισμού των πρωτεϊνικών κατάλοιπων, γυάλινα σφαιρίδια πρόσδεσης του </w:t>
            </w:r>
            <w:r w:rsidRPr="002C0E1B">
              <w:rPr>
                <w:rFonts w:asciiTheme="minorHAnsi" w:hAnsiTheme="minorHAnsi" w:cstheme="minorHAnsi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 και δοχεία συγκράτησης των σφαιριδίων, τα διαλύματα έκπλυσης και συλλογής </w:t>
            </w:r>
            <w:r w:rsidRPr="002C0E1B">
              <w:rPr>
                <w:rFonts w:asciiTheme="minorHAnsi" w:hAnsiTheme="minorHAnsi" w:cstheme="minorHAnsi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και τέλος τα δοχεία συλλογής (</w:t>
            </w:r>
            <w:r w:rsidRPr="002C0E1B">
              <w:rPr>
                <w:rFonts w:asciiTheme="minorHAnsi" w:hAnsiTheme="minorHAnsi" w:cstheme="minorHAnsi"/>
                <w:szCs w:val="22"/>
              </w:rPr>
              <w:t>collection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tubes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) του καθαρού </w:t>
            </w:r>
            <w:r w:rsidRPr="002C0E1B">
              <w:rPr>
                <w:rFonts w:asciiTheme="minorHAnsi" w:hAnsiTheme="minorHAnsi" w:cstheme="minorHAnsi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. Τα σφαιρίδια πρόσδεσης του </w:t>
            </w:r>
            <w:r w:rsidRPr="002C0E1B">
              <w:rPr>
                <w:rFonts w:asciiTheme="minorHAnsi" w:hAnsiTheme="minorHAnsi" w:cstheme="minorHAnsi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(</w:t>
            </w:r>
            <w:r w:rsidRPr="002C0E1B">
              <w:rPr>
                <w:rFonts w:asciiTheme="minorHAnsi" w:hAnsiTheme="minorHAnsi" w:cstheme="minorHAnsi"/>
                <w:szCs w:val="22"/>
              </w:rPr>
              <w:t>borosilicate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glass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beads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) να παρέχουν εγγυημένα υψηλής ποιότητας </w:t>
            </w:r>
            <w:r w:rsidRPr="002C0E1B">
              <w:rPr>
                <w:rFonts w:asciiTheme="minorHAnsi" w:hAnsiTheme="minorHAnsi" w:cstheme="minorHAnsi"/>
                <w:szCs w:val="22"/>
              </w:rPr>
              <w:t>HMW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για άριστη απόδοση στο </w:t>
            </w:r>
            <w:r w:rsidRPr="002C0E1B">
              <w:rPr>
                <w:rFonts w:asciiTheme="minorHAnsi" w:hAnsiTheme="minorHAnsi" w:cstheme="minorHAnsi"/>
                <w:szCs w:val="22"/>
              </w:rPr>
              <w:t>Nanopore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Sequencing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t>.</w:t>
            </w:r>
            <w:r w:rsidRPr="002C0E1B">
              <w:rPr>
                <w:rFonts w:asciiTheme="minorHAnsi" w:hAnsiTheme="minorHAnsi" w:cstheme="minorHAnsi"/>
                <w:szCs w:val="22"/>
                <w:lang w:val="el-GR"/>
              </w:rPr>
              <w:br/>
              <w:t xml:space="preserve"> </w:t>
            </w:r>
            <w:r w:rsidRPr="002C0E1B">
              <w:rPr>
                <w:rFonts w:asciiTheme="minorHAnsi" w:hAnsiTheme="minorHAnsi" w:cstheme="minorHAnsi"/>
                <w:szCs w:val="22"/>
              </w:rPr>
              <w:t>Συσκευασία: 50 απομονώσεις.</w:t>
            </w:r>
          </w:p>
        </w:tc>
        <w:tc>
          <w:tcPr>
            <w:tcW w:w="53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0E1B" w:rsidRPr="002C0E1B" w:rsidTr="000B4F88">
        <w:trPr>
          <w:trHeight w:val="216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 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 xml:space="preserve">ΚΛΕΙΣΤΟΣ ΠΙΝΑΚΑΣ Β/4: Αντιδραστήρια για απομόνωση 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RNA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 xml:space="preserve">. Τα αντιδραστήρια θα πρέπει να είναι συμβατά με τον υπάρχοντα εξοπλισμό 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MagCore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Plus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/>
              </w:rPr>
              <w:t xml:space="preserve"> τον οποίο διαθέτει το ΕΙΠ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 </w:t>
            </w:r>
          </w:p>
        </w:tc>
      </w:tr>
      <w:tr w:rsidR="002C0E1B" w:rsidRPr="002C0E1B" w:rsidTr="000B4F88">
        <w:trPr>
          <w:trHeight w:val="390"/>
        </w:trPr>
        <w:tc>
          <w:tcPr>
            <w:tcW w:w="310" w:type="pct"/>
            <w:shd w:val="clear" w:color="CCFFFF" w:fill="DBEEF4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lastRenderedPageBreak/>
              <w:t>Α/Α</w:t>
            </w:r>
          </w:p>
        </w:tc>
        <w:tc>
          <w:tcPr>
            <w:tcW w:w="2877" w:type="pct"/>
            <w:shd w:val="clear" w:color="CCFFFF" w:fill="DBEEF4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ΠΡΟΔΙΑΓΡΑΦΕΣ</w:t>
            </w:r>
          </w:p>
        </w:tc>
        <w:tc>
          <w:tcPr>
            <w:tcW w:w="531" w:type="pct"/>
            <w:shd w:val="clear" w:color="CCFFFF" w:fill="DBEEF4"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481" w:type="pct"/>
            <w:shd w:val="clear" w:color="CCFFFF" w:fill="DBEEF4"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01" w:type="pct"/>
            <w:shd w:val="clear" w:color="CCFFFF" w:fill="DBEEF4"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2C0E1B" w:rsidRPr="002C0E1B" w:rsidTr="000B4F88">
        <w:trPr>
          <w:trHeight w:val="415"/>
        </w:trPr>
        <w:tc>
          <w:tcPr>
            <w:tcW w:w="310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4.1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left"/>
              <w:rPr>
                <w:rFonts w:asciiTheme="minorHAnsi" w:hAnsiTheme="minorHAnsi" w:cstheme="minorHAnsi"/>
                <w:color w:val="000000"/>
                <w:szCs w:val="22"/>
                <w:lang w:val="en-US" w:eastAsia="en-US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Κιτ για απομόνωση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miRNA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από έως και 400μ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l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ορού ή πλάσματος.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  <w:t xml:space="preserve">Να είναι κατάλληλο για χρήση στο αυτόματο μηχάνημα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MagCore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.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  <w:t xml:space="preserve">Να χρησιμοποιεί τεχνολογία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magnetic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beads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.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  <w:t xml:space="preserve">Όλα τα απαραίτητα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buffers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και τα μαγνητικά σφαιρίδια να περιέχονται σε προγεμισμένες κασέτες.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  <w:t xml:space="preserve">Να παρέχεται υψηλής καθαρότητας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RNA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κατάλληλο για όλες τις συνήθεις εφαρμογές.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Nα διατίθεται σε συσκευασία των 72 απομονώσεων.</w:t>
            </w:r>
          </w:p>
        </w:tc>
        <w:tc>
          <w:tcPr>
            <w:tcW w:w="53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  <w:tc>
          <w:tcPr>
            <w:tcW w:w="48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  <w:tc>
          <w:tcPr>
            <w:tcW w:w="80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</w:tr>
      <w:tr w:rsidR="002C0E1B" w:rsidRPr="002C0E1B" w:rsidTr="000B4F88">
        <w:trPr>
          <w:trHeight w:val="415"/>
        </w:trPr>
        <w:tc>
          <w:tcPr>
            <w:tcW w:w="310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4.2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left"/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Κιτ για απομόνωση ολικού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RNA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από 5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x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106 κύτταρα σε καλλιέργειες ανθρώπινο ολικό αίμα και διάφορους ζωικούς ιστούς.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  <w:t xml:space="preserve">Να είναι κατάλληλο για χρήση στο αυτόματο μηχάνημα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MagCore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  <w:t xml:space="preserve">Να χρησιμοποιεί τεχνολογία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magnetic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beads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.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  <w:t xml:space="preserve">Το πρόγραμμα να παρέχει προαιρετική επεξαργασία με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DNase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για την απομάκρυνση του υπολειμματικού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DNA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.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Το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κιτ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να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περιέχει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τα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εξής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: Pre-filled Cartridges, RBC lysis buffer, RB buffer, Pipette Tip &amp; Holder Sets, Sample Tubes, Elution Tubes, Filter Column  Set.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br/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Το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απομονωμένο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RNA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να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μπορεί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να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χρησιμοποιηθεί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σε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RT-PCR, cDNA synthesis, Real-Time RT-PCR, Northern blotting, microarray target preparation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και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NGS.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br/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Η διαδικασία να ολοκληρώνεται σε λιγότερο από 45 λεπτά (χωρίς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DNAse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treatment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) και σε λιγότερο από 75 λεπτά (με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DNAse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treatment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)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α διατίθεται σε συσκευασία των 72 απομονώσεων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br/>
              <w:t xml:space="preserve">Να φέρει σήμανση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CE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/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IVD</w:t>
            </w:r>
          </w:p>
        </w:tc>
        <w:tc>
          <w:tcPr>
            <w:tcW w:w="53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  <w:tc>
          <w:tcPr>
            <w:tcW w:w="48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  <w:tc>
          <w:tcPr>
            <w:tcW w:w="80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</w:tr>
      <w:tr w:rsidR="002C0E1B" w:rsidRPr="002C0E1B" w:rsidTr="000B4F88">
        <w:trPr>
          <w:trHeight w:val="562"/>
        </w:trPr>
        <w:tc>
          <w:tcPr>
            <w:tcW w:w="310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4.3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2C0E1B" w:rsidRPr="002C0E1B" w:rsidRDefault="002C0E1B" w:rsidP="000B4F88">
            <w:pPr>
              <w:jc w:val="left"/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Ένζυμο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Dnase I, RNAse free.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Κατάλληλο για χρήση με το αυτόματο σύστημα απομόνωσης νουκελϊκών οξέων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MagCore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. Να περιλαμβάνει 2 φιαλίδια με  λυοφιλιοποιημένη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RNAse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-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free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DNAase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(1500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Kunitz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units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), 2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x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1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ml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RNAse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-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free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water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και 30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ml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DNase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I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Reaction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2C0E1B">
              <w:rPr>
                <w:rFonts w:asciiTheme="minorHAnsi" w:hAnsiTheme="minorHAnsi" w:cstheme="minorHAnsi"/>
                <w:color w:val="000000"/>
                <w:szCs w:val="22"/>
              </w:rPr>
              <w:t>Buffer</w:t>
            </w:r>
          </w:p>
        </w:tc>
        <w:tc>
          <w:tcPr>
            <w:tcW w:w="53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  <w:tc>
          <w:tcPr>
            <w:tcW w:w="48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  <w:tc>
          <w:tcPr>
            <w:tcW w:w="801" w:type="pct"/>
          </w:tcPr>
          <w:p w:rsidR="002C0E1B" w:rsidRPr="002C0E1B" w:rsidRDefault="002C0E1B" w:rsidP="000B4F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</w:tr>
    </w:tbl>
    <w:p w:rsidR="002C0E1B" w:rsidRDefault="002C0E1B">
      <w:pPr>
        <w:rPr>
          <w:lang w:val="el-GR"/>
        </w:rPr>
      </w:pPr>
    </w:p>
    <w:sectPr w:rsidR="002C0E1B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6D" w:rsidRDefault="0077306D" w:rsidP="0053024E">
      <w:pPr>
        <w:spacing w:after="0"/>
      </w:pPr>
      <w:r>
        <w:separator/>
      </w:r>
    </w:p>
  </w:endnote>
  <w:endnote w:type="continuationSeparator" w:id="0">
    <w:p w:rsidR="0077306D" w:rsidRDefault="0077306D" w:rsidP="005302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4E" w:rsidRDefault="0053024E">
    <w:pPr>
      <w:pStyle w:val="Footer"/>
    </w:pPr>
    <w:r>
      <w:rPr>
        <w:lang w:val="el-GR"/>
      </w:rPr>
      <w:t xml:space="preserve">                                                       </w:t>
    </w:r>
    <w:r>
      <w:rPr>
        <w:noProof/>
        <w:lang w:val="el-GR" w:eastAsia="el-GR"/>
      </w:rPr>
      <w:drawing>
        <wp:inline distT="0" distB="0" distL="0" distR="0" wp14:anchorId="637B3165">
          <wp:extent cx="2487295" cy="323215"/>
          <wp:effectExtent l="0" t="0" r="8255" b="635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6D" w:rsidRDefault="0077306D" w:rsidP="0053024E">
      <w:pPr>
        <w:spacing w:after="0"/>
      </w:pPr>
      <w:r>
        <w:separator/>
      </w:r>
    </w:p>
  </w:footnote>
  <w:footnote w:type="continuationSeparator" w:id="0">
    <w:p w:rsidR="0077306D" w:rsidRDefault="0077306D" w:rsidP="005302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4E" w:rsidRDefault="0053024E">
    <w:pPr>
      <w:pStyle w:val="Header"/>
    </w:pPr>
    <w:r>
      <w:rPr>
        <w:noProof/>
        <w:lang w:val="el-GR" w:eastAsia="el-GR"/>
      </w:rPr>
      <w:drawing>
        <wp:inline distT="0" distB="0" distL="0" distR="0" wp14:anchorId="4CE73648">
          <wp:extent cx="457200" cy="43878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024E" w:rsidRPr="00AE1C38" w:rsidRDefault="0053024E" w:rsidP="002C0E1B">
    <w:pPr>
      <w:tabs>
        <w:tab w:val="left" w:pos="5577"/>
      </w:tabs>
      <w:autoSpaceDE w:val="0"/>
      <w:autoSpaceDN w:val="0"/>
      <w:adjustRightInd w:val="0"/>
      <w:jc w:val="left"/>
      <w:rPr>
        <w:b/>
        <w:bCs/>
        <w:color w:val="000000"/>
        <w:szCs w:val="22"/>
        <w:lang w:val="el-GR"/>
      </w:rPr>
    </w:pPr>
    <w:r w:rsidRPr="00AE1C38">
      <w:rPr>
        <w:b/>
        <w:bCs/>
        <w:color w:val="000000"/>
        <w:szCs w:val="22"/>
        <w:lang w:val="el-GR"/>
      </w:rPr>
      <w:t>ΕΛΛΗΝΙΚΗ ΔΗΜΟΚΡΑΤΙΑ</w:t>
    </w:r>
    <w:r w:rsidR="002C0E1B">
      <w:rPr>
        <w:b/>
        <w:bCs/>
        <w:color w:val="000000"/>
        <w:szCs w:val="22"/>
        <w:lang w:val="el-GR"/>
      </w:rPr>
      <w:tab/>
    </w:r>
  </w:p>
  <w:p w:rsidR="0053024E" w:rsidRPr="00AE1C38" w:rsidRDefault="0053024E" w:rsidP="0053024E">
    <w:pPr>
      <w:autoSpaceDE w:val="0"/>
      <w:autoSpaceDN w:val="0"/>
      <w:adjustRightInd w:val="0"/>
      <w:jc w:val="left"/>
      <w:rPr>
        <w:b/>
        <w:bCs/>
        <w:color w:val="000000"/>
        <w:szCs w:val="22"/>
        <w:lang w:val="el-GR"/>
      </w:rPr>
    </w:pPr>
    <w:r w:rsidRPr="00AE1C38">
      <w:rPr>
        <w:b/>
        <w:bCs/>
        <w:color w:val="000000"/>
        <w:szCs w:val="22"/>
        <w:lang w:val="el-GR"/>
      </w:rPr>
      <w:t>ΥΠΟΥΡΓΕΙΟ ΑΝΑΠΤΥΞΗΣ</w:t>
    </w:r>
  </w:p>
  <w:p w:rsidR="0053024E" w:rsidRPr="005A7ED9" w:rsidRDefault="0053024E" w:rsidP="0053024E">
    <w:pPr>
      <w:spacing w:after="0"/>
      <w:ind w:left="-284"/>
      <w:rPr>
        <w:b/>
        <w:bCs/>
        <w:color w:val="000000"/>
        <w:lang w:val="el-GR"/>
      </w:rPr>
    </w:pPr>
    <w:r w:rsidRPr="00AE1C38">
      <w:rPr>
        <w:b/>
        <w:bCs/>
        <w:color w:val="000000"/>
        <w:szCs w:val="22"/>
        <w:lang w:val="el-GR"/>
      </w:rPr>
      <w:tab/>
      <w:t>ΓΕΝΙΚΗ ΓΡΑΜΜΑΤΕΙΑ ΕΡΕΥΝΑΣ &amp; ΚΑΙΝΟΤΟΜΙΑΣ</w:t>
    </w:r>
  </w:p>
  <w:p w:rsidR="0053024E" w:rsidRPr="0053024E" w:rsidRDefault="0053024E">
    <w:pPr>
      <w:pStyle w:val="Header"/>
      <w:rPr>
        <w:lang w:val="el-GR"/>
      </w:rPr>
    </w:pPr>
    <w:r>
      <w:rPr>
        <w:noProof/>
        <w:lang w:val="el-GR" w:eastAsia="el-GR"/>
      </w:rPr>
      <w:drawing>
        <wp:inline distT="0" distB="0" distL="0" distR="0" wp14:anchorId="51406FA2">
          <wp:extent cx="2468880" cy="372110"/>
          <wp:effectExtent l="0" t="0" r="7620" b="889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1B"/>
    <w:rsid w:val="00204EC6"/>
    <w:rsid w:val="002C0E1B"/>
    <w:rsid w:val="00353B1B"/>
    <w:rsid w:val="0053024E"/>
    <w:rsid w:val="00602F50"/>
    <w:rsid w:val="0077306D"/>
    <w:rsid w:val="007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1F804A-D9B5-4119-8386-A5CC8E8B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B1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autoRedefine/>
    <w:rsid w:val="007B4CBE"/>
    <w:pPr>
      <w:spacing w:after="0"/>
      <w:ind w:left="1540"/>
      <w:jc w:val="left"/>
    </w:pPr>
    <w:rPr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3024E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024E"/>
    <w:rPr>
      <w:rFonts w:ascii="Calibri" w:eastAsia="Times New Roman" w:hAnsi="Calibri" w:cs="Calibri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53024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024E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1836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Μαρία Αποστολάκη</cp:lastModifiedBy>
  <cp:revision>2</cp:revision>
  <dcterms:created xsi:type="dcterms:W3CDTF">2025-01-23T09:40:00Z</dcterms:created>
  <dcterms:modified xsi:type="dcterms:W3CDTF">2025-01-23T09:40:00Z</dcterms:modified>
</cp:coreProperties>
</file>