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DB" w:rsidRPr="00691A50" w:rsidRDefault="00024ADB" w:rsidP="00024ADB">
      <w:pPr>
        <w:pStyle w:val="normalwithoutspacing"/>
        <w:spacing w:after="120"/>
        <w:rPr>
          <w:b/>
          <w:bCs/>
          <w:color w:val="000000"/>
          <w:sz w:val="24"/>
        </w:rPr>
      </w:pPr>
      <w:bookmarkStart w:id="0" w:name="_GoBack"/>
      <w:bookmarkEnd w:id="0"/>
      <w:r w:rsidRPr="00691A50">
        <w:rPr>
          <w:b/>
          <w:bCs/>
          <w:color w:val="000000"/>
          <w:sz w:val="24"/>
        </w:rPr>
        <w:t xml:space="preserve">Ο </w:t>
      </w:r>
      <w:r w:rsidRPr="00691A50">
        <w:rPr>
          <w:b/>
          <w:bCs/>
          <w:color w:val="000000"/>
          <w:sz w:val="24"/>
          <w:u w:val="single"/>
        </w:rPr>
        <w:t>Πίνακας Συμμόρφωσης</w:t>
      </w:r>
      <w:r w:rsidRPr="00691A50">
        <w:rPr>
          <w:b/>
          <w:bCs/>
          <w:color w:val="000000"/>
          <w:sz w:val="24"/>
        </w:rPr>
        <w:t xml:space="preserve"> όπως παρατίθενται κάτωθι, αφού συμπληρωθεί πλήρως, θα πρέπει να υποβληθεί με την Τεχνική προσφορά του οικονομικού φορέα όπως απαιτείται βάσει της παραγράφου 2.4.3.2 της διακήρυξης.</w:t>
      </w:r>
    </w:p>
    <w:p w:rsidR="00024ADB" w:rsidRPr="00691A50" w:rsidRDefault="00024ADB" w:rsidP="00024ADB">
      <w:pPr>
        <w:pStyle w:val="normalwithoutspacing"/>
        <w:spacing w:after="120"/>
        <w:rPr>
          <w:b/>
          <w:bCs/>
          <w:color w:val="000000"/>
          <w:sz w:val="24"/>
        </w:rPr>
      </w:pPr>
    </w:p>
    <w:p w:rsidR="00024ADB" w:rsidRPr="00691A50" w:rsidRDefault="00024ADB" w:rsidP="00024ADB">
      <w:pPr>
        <w:pStyle w:val="normalwithoutspacing"/>
        <w:spacing w:after="120"/>
        <w:rPr>
          <w:b/>
          <w:color w:val="000000"/>
          <w:sz w:val="24"/>
          <w:u w:val="single"/>
        </w:rPr>
      </w:pPr>
      <w:r w:rsidRPr="00691A50">
        <w:rPr>
          <w:b/>
          <w:bCs/>
          <w:color w:val="000000"/>
          <w:sz w:val="24"/>
          <w:u w:val="single"/>
        </w:rPr>
        <w:t>ΦΥΛΛΟ ΣΥΜΜΟΡΦΩΣΗΣ</w:t>
      </w:r>
    </w:p>
    <w:p w:rsidR="00024ADB" w:rsidRPr="00691A50" w:rsidRDefault="00024ADB" w:rsidP="00024ADB">
      <w:pPr>
        <w:suppressAutoHyphens w:val="0"/>
        <w:autoSpaceDE w:val="0"/>
        <w:rPr>
          <w:rFonts w:eastAsia="SimSun"/>
          <w:sz w:val="24"/>
          <w:lang w:val="el-G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92"/>
        <w:gridCol w:w="993"/>
        <w:gridCol w:w="1701"/>
      </w:tblGrid>
      <w:tr w:rsidR="00024ADB" w:rsidRPr="00691A50" w:rsidTr="00CD268E">
        <w:trPr>
          <w:trHeight w:val="653"/>
        </w:trPr>
        <w:tc>
          <w:tcPr>
            <w:tcW w:w="5812" w:type="dxa"/>
            <w:shd w:val="clear" w:color="auto" w:fill="auto"/>
            <w:vAlign w:val="center"/>
          </w:tcPr>
          <w:p w:rsidR="00024ADB" w:rsidRPr="00691A50" w:rsidRDefault="00024ADB" w:rsidP="00CD268E">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ΤΕΧΝΙΚΗ ΠΕΡΙΓΡΑΦΗ</w:t>
            </w:r>
          </w:p>
        </w:tc>
        <w:tc>
          <w:tcPr>
            <w:tcW w:w="992" w:type="dxa"/>
            <w:vAlign w:val="center"/>
          </w:tcPr>
          <w:p w:rsidR="00024ADB" w:rsidRPr="00691A50" w:rsidRDefault="00024ADB" w:rsidP="00CD268E">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ΝΑΙ</w:t>
            </w:r>
          </w:p>
        </w:tc>
        <w:tc>
          <w:tcPr>
            <w:tcW w:w="993" w:type="dxa"/>
            <w:vAlign w:val="center"/>
          </w:tcPr>
          <w:p w:rsidR="00024ADB" w:rsidRPr="00691A50" w:rsidRDefault="00024ADB" w:rsidP="00CD268E">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ΟΧΙ</w:t>
            </w:r>
          </w:p>
        </w:tc>
        <w:tc>
          <w:tcPr>
            <w:tcW w:w="1701" w:type="dxa"/>
            <w:vAlign w:val="center"/>
          </w:tcPr>
          <w:p w:rsidR="00024ADB" w:rsidRPr="00691A50" w:rsidRDefault="00024ADB" w:rsidP="00CD268E">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ΠΑΡΑΠΟΜΠΗ</w:t>
            </w:r>
          </w:p>
        </w:tc>
      </w:tr>
      <w:tr w:rsidR="00024ADB" w:rsidRPr="00691A50" w:rsidTr="00CD268E">
        <w:trPr>
          <w:trHeight w:val="501"/>
        </w:trPr>
        <w:tc>
          <w:tcPr>
            <w:tcW w:w="9498" w:type="dxa"/>
            <w:gridSpan w:val="4"/>
            <w:shd w:val="clear" w:color="auto" w:fill="auto"/>
            <w:vAlign w:val="bottom"/>
          </w:tcPr>
          <w:p w:rsidR="00024ADB" w:rsidRPr="00691A50" w:rsidRDefault="00024ADB" w:rsidP="00CD268E">
            <w:pPr>
              <w:shd w:val="clear" w:color="auto" w:fill="FFFFFF"/>
              <w:suppressAutoHyphens w:val="0"/>
              <w:spacing w:after="0"/>
              <w:rPr>
                <w:rFonts w:cs="Times New Roman"/>
                <w:color w:val="000000"/>
                <w:sz w:val="24"/>
                <w:lang w:val="el-GR" w:eastAsia="el-GR"/>
              </w:rPr>
            </w:pPr>
            <w:r>
              <w:rPr>
                <w:sz w:val="24"/>
                <w:lang w:val="el-GR" w:eastAsia="en-US"/>
              </w:rPr>
              <w:t>Η συσκευή θα πρέπει να πληρο</w:t>
            </w:r>
            <w:r w:rsidRPr="00691A50">
              <w:rPr>
                <w:sz w:val="24"/>
                <w:lang w:val="el-GR" w:eastAsia="en-US"/>
              </w:rPr>
              <w:t>ί</w:t>
            </w:r>
            <w:r>
              <w:rPr>
                <w:sz w:val="24"/>
                <w:lang w:val="el-GR" w:eastAsia="en-US"/>
              </w:rPr>
              <w:t xml:space="preserve"> </w:t>
            </w:r>
            <w:r w:rsidRPr="00691A50">
              <w:rPr>
                <w:sz w:val="24"/>
                <w:lang w:val="el-GR" w:eastAsia="en-US"/>
              </w:rPr>
              <w:t xml:space="preserve"> τις κατ΄ε</w:t>
            </w:r>
            <w:r>
              <w:rPr>
                <w:sz w:val="24"/>
                <w:lang w:val="el-GR" w:eastAsia="en-US"/>
              </w:rPr>
              <w:t>λάχιστον παρακάτω προδιαγραφές:</w:t>
            </w:r>
          </w:p>
        </w:tc>
      </w:tr>
      <w:tr w:rsidR="00024ADB" w:rsidRPr="00691A50" w:rsidTr="00CD268E">
        <w:trPr>
          <w:trHeight w:val="1208"/>
        </w:trPr>
        <w:tc>
          <w:tcPr>
            <w:tcW w:w="5812" w:type="dxa"/>
          </w:tcPr>
          <w:p w:rsidR="00024ADB" w:rsidRPr="00E20C41" w:rsidRDefault="00024ADB" w:rsidP="00024ADB">
            <w:pPr>
              <w:numPr>
                <w:ilvl w:val="0"/>
                <w:numId w:val="1"/>
              </w:numPr>
              <w:spacing w:line="276" w:lineRule="auto"/>
              <w:rPr>
                <w:rFonts w:eastAsia="Calibri"/>
                <w:szCs w:val="22"/>
                <w:lang w:val="el-GR" w:eastAsia="en-US"/>
              </w:rPr>
            </w:pPr>
            <w:r w:rsidRPr="00E20C41">
              <w:rPr>
                <w:szCs w:val="22"/>
                <w:lang w:val="el-GR"/>
              </w:rPr>
              <w:t xml:space="preserve">Να είναι πλήρως αυτοματοποιημένο σύστημα προσδιορισμού απολύτων ποσοτήτων του </w:t>
            </w:r>
            <w:r w:rsidRPr="00E20C41">
              <w:rPr>
                <w:szCs w:val="22"/>
              </w:rPr>
              <w:t>DNA</w:t>
            </w:r>
            <w:r w:rsidRPr="00E20C41">
              <w:rPr>
                <w:szCs w:val="22"/>
                <w:lang w:val="el-GR"/>
              </w:rPr>
              <w:t xml:space="preserve"> στόχου σε δείγμα με τη μέθοδο της </w:t>
            </w:r>
            <w:r w:rsidRPr="00E20C41">
              <w:rPr>
                <w:szCs w:val="22"/>
              </w:rPr>
              <w:t>digital</w:t>
            </w:r>
            <w:r w:rsidRPr="00E20C41">
              <w:rPr>
                <w:szCs w:val="22"/>
                <w:lang w:val="el-GR"/>
              </w:rPr>
              <w:t xml:space="preserve"> </w:t>
            </w:r>
            <w:r w:rsidRPr="00E20C41">
              <w:rPr>
                <w:szCs w:val="22"/>
              </w:rPr>
              <w:t>PCR</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687"/>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Να χρησιμοποιεί σφραγιζόμενη microfluidic νανοπλάκα (nanoplate ) 24 διαμερισματοποιημένων βοθρίων με 8.500 ή 26.000 διαμερίσματα ανά βοθρίο, ή νανοπλάκα 96 διαμερισματοποιημένων βοθρίων με 8.500 διαμερίσματα ανά βοθρίο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645"/>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 xml:space="preserve">Να επιτυγχάνει διαμερισματοποίηση του δείγματος.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905"/>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Οι διαδικασίες διαμερισματοποίησης, κυκλοποίησης και απεικόνισης να διεκπεραιώνονται στο ίδιο σύστημα.</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718"/>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 xml:space="preserve">Να μπορεί να ολοκληρώνει τη διαδικασία από την εισαγωγή της νανοπλάκας στο σύστημα μέχρι την άμεση αναφορά των αποτελεσμάτων, σε λιγότερο από 2 ώρες.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487"/>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Να διαθέτει  5 κανάλια ανίχνευσης φθορισμού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749"/>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 xml:space="preserve">Να επιτυγχάνεται απόλυτη ποσοτικοποίηση, χωρίς τη χρήση καμπυλών αναφοράς.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920"/>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Να επιτυγχάνεται ταχύτητα αυξομείωσης της θερμοκρασίας στο χώρο διεξαγωγής της PCR (temperature ramp rate) 2 – 3,5⁰C/s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575"/>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Να παρέχει ακρίβεια θερμοκρασίας ±1⁰C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896"/>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t xml:space="preserve">Να έχει ομοιομορφία θερμοκρασίας στην επιφάνεια της νανοπλάκας ±1⁰C.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628"/>
        </w:trPr>
        <w:tc>
          <w:tcPr>
            <w:tcW w:w="5812" w:type="dxa"/>
          </w:tcPr>
          <w:p w:rsidR="00024ADB" w:rsidRPr="00E20C41" w:rsidRDefault="00024ADB" w:rsidP="00024ADB">
            <w:pPr>
              <w:numPr>
                <w:ilvl w:val="0"/>
                <w:numId w:val="1"/>
              </w:numPr>
              <w:rPr>
                <w:rFonts w:eastAsia="Calibri"/>
                <w:szCs w:val="22"/>
                <w:lang w:val="el-GR" w:eastAsia="en-US"/>
              </w:rPr>
            </w:pPr>
            <w:r w:rsidRPr="00E20C41">
              <w:rPr>
                <w:rFonts w:eastAsia="Calibri"/>
                <w:szCs w:val="22"/>
                <w:lang w:val="el-GR" w:eastAsia="en-US"/>
              </w:rPr>
              <w:lastRenderedPageBreak/>
              <w:t xml:space="preserve">Να διαθέτει οθόνη αφής και να συνοδεύεται από λογισμικό ανάλυσης. </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755"/>
        </w:trPr>
        <w:tc>
          <w:tcPr>
            <w:tcW w:w="5812" w:type="dxa"/>
            <w:noWrap/>
          </w:tcPr>
          <w:p w:rsidR="00024ADB" w:rsidRPr="00E20C41" w:rsidRDefault="00024ADB" w:rsidP="00024ADB">
            <w:pPr>
              <w:numPr>
                <w:ilvl w:val="0"/>
                <w:numId w:val="1"/>
              </w:numPr>
              <w:spacing w:line="276" w:lineRule="auto"/>
              <w:rPr>
                <w:rFonts w:eastAsia="Calibri"/>
                <w:szCs w:val="22"/>
                <w:lang w:val="el-GR" w:eastAsia="en-US"/>
              </w:rPr>
            </w:pPr>
            <w:r w:rsidRPr="00E20C41">
              <w:rPr>
                <w:rFonts w:eastAsia="Calibri"/>
                <w:szCs w:val="22"/>
                <w:lang w:val="el-GR" w:eastAsia="en-US"/>
              </w:rPr>
              <w:t xml:space="preserve">Να επιτρέπει τις παρακάτω εφαρμογές: </w:t>
            </w:r>
          </w:p>
          <w:p w:rsidR="00024ADB" w:rsidRPr="00E20C41" w:rsidRDefault="00024ADB" w:rsidP="00CD268E">
            <w:pPr>
              <w:spacing w:line="276" w:lineRule="auto"/>
              <w:ind w:left="720"/>
              <w:rPr>
                <w:rFonts w:eastAsia="Calibri"/>
                <w:szCs w:val="22"/>
                <w:lang w:val="el-GR" w:eastAsia="en-US"/>
              </w:rPr>
            </w:pPr>
            <w:r w:rsidRPr="00E20C41">
              <w:rPr>
                <w:rFonts w:eastAsia="Calibri"/>
                <w:szCs w:val="22"/>
                <w:lang w:val="el-GR" w:eastAsia="en-US"/>
              </w:rPr>
              <w:t>- Ανίχνευση σπανίων μεταλλάξεων</w:t>
            </w:r>
          </w:p>
          <w:p w:rsidR="00024ADB" w:rsidRPr="00E20C41" w:rsidRDefault="00024ADB" w:rsidP="00CD268E">
            <w:pPr>
              <w:spacing w:line="276" w:lineRule="auto"/>
              <w:ind w:left="720"/>
              <w:rPr>
                <w:rFonts w:eastAsia="Calibri"/>
                <w:szCs w:val="22"/>
                <w:lang w:val="el-GR" w:eastAsia="en-US"/>
              </w:rPr>
            </w:pPr>
            <w:r w:rsidRPr="00E20C41">
              <w:rPr>
                <w:rFonts w:eastAsia="Calibri"/>
                <w:szCs w:val="22"/>
                <w:lang w:val="el-GR" w:eastAsia="en-US"/>
              </w:rPr>
              <w:t>- Ανάλυση παραλλαγής αριθμού αντιγράφων (Copy Number Variation)</w:t>
            </w:r>
          </w:p>
          <w:p w:rsidR="00024ADB" w:rsidRPr="00E20C41" w:rsidRDefault="00024ADB" w:rsidP="00CD268E">
            <w:pPr>
              <w:spacing w:line="276" w:lineRule="auto"/>
              <w:ind w:left="720"/>
              <w:rPr>
                <w:rFonts w:eastAsia="Calibri"/>
                <w:szCs w:val="22"/>
                <w:lang w:val="el-GR" w:eastAsia="en-US"/>
              </w:rPr>
            </w:pPr>
            <w:r w:rsidRPr="00E20C41">
              <w:rPr>
                <w:rFonts w:eastAsia="Calibri"/>
                <w:szCs w:val="22"/>
                <w:lang w:val="el-GR" w:eastAsia="en-US"/>
              </w:rPr>
              <w:t>- Aνίχνευση παθογόνων και ανάλυση μικροβιώματος</w:t>
            </w:r>
          </w:p>
          <w:p w:rsidR="00024ADB" w:rsidRPr="00E20C41" w:rsidRDefault="00024ADB" w:rsidP="00CD268E">
            <w:pPr>
              <w:spacing w:line="276" w:lineRule="auto"/>
              <w:ind w:left="720"/>
              <w:rPr>
                <w:rFonts w:eastAsia="Calibri"/>
                <w:szCs w:val="22"/>
                <w:lang w:val="el-GR" w:eastAsia="en-US"/>
              </w:rPr>
            </w:pPr>
            <w:r w:rsidRPr="00E20C41">
              <w:rPr>
                <w:rFonts w:eastAsia="Calibri"/>
                <w:szCs w:val="22"/>
                <w:lang w:val="el-GR" w:eastAsia="en-US"/>
              </w:rPr>
              <w:t xml:space="preserve">- Έλεγχος NGS βιβλιοθηκών </w:t>
            </w:r>
          </w:p>
          <w:p w:rsidR="00024ADB" w:rsidRPr="00E20C41" w:rsidRDefault="00024ADB" w:rsidP="00CD268E">
            <w:pPr>
              <w:spacing w:line="276" w:lineRule="auto"/>
              <w:ind w:left="720"/>
              <w:rPr>
                <w:rFonts w:eastAsia="Calibri"/>
                <w:szCs w:val="22"/>
                <w:lang w:val="el-GR" w:eastAsia="en-US"/>
              </w:rPr>
            </w:pPr>
            <w:r w:rsidRPr="00E20C41">
              <w:rPr>
                <w:rFonts w:eastAsia="Calibri"/>
                <w:szCs w:val="22"/>
                <w:lang w:val="el-GR" w:eastAsia="en-US"/>
              </w:rPr>
              <w:t>- Aνάλυση γονιδιακής έκφρασης</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233"/>
        </w:trPr>
        <w:tc>
          <w:tcPr>
            <w:tcW w:w="5812" w:type="dxa"/>
            <w:shd w:val="clear" w:color="auto" w:fill="auto"/>
            <w:noWrap/>
            <w:vAlign w:val="center"/>
          </w:tcPr>
          <w:p w:rsidR="00024ADB" w:rsidRPr="00E20C41" w:rsidRDefault="00024ADB" w:rsidP="00CD268E">
            <w:pPr>
              <w:rPr>
                <w:rFonts w:cs="Times New Roman"/>
                <w:color w:val="000000"/>
                <w:szCs w:val="22"/>
                <w:lang w:val="el-GR" w:eastAsia="el-GR"/>
              </w:rPr>
            </w:pPr>
            <w:r w:rsidRPr="00E20C41">
              <w:rPr>
                <w:rFonts w:eastAsia="Calibri"/>
                <w:b/>
                <w:szCs w:val="22"/>
                <w:u w:val="single"/>
                <w:lang w:eastAsia="en-US"/>
              </w:rPr>
              <w:t>ΥΠΟΧΡΕΩΣΕΙΣ ΕΤΑΙΡΕΙΑΣ</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CD268E">
        <w:trPr>
          <w:trHeight w:val="1000"/>
        </w:trPr>
        <w:tc>
          <w:tcPr>
            <w:tcW w:w="5812" w:type="dxa"/>
            <w:shd w:val="clear" w:color="auto" w:fill="auto"/>
            <w:noWrap/>
            <w:vAlign w:val="center"/>
          </w:tcPr>
          <w:p w:rsidR="00024ADB" w:rsidRPr="00E20C41" w:rsidRDefault="00024ADB" w:rsidP="00CD268E">
            <w:pPr>
              <w:suppressAutoHyphens w:val="0"/>
              <w:spacing w:after="0" w:line="276" w:lineRule="auto"/>
              <w:jc w:val="left"/>
              <w:rPr>
                <w:rFonts w:cs="Times New Roman"/>
                <w:color w:val="000000"/>
                <w:szCs w:val="22"/>
                <w:lang w:val="el-GR" w:eastAsia="el-GR"/>
              </w:rPr>
            </w:pPr>
            <w:r w:rsidRPr="00E20C41">
              <w:rPr>
                <w:rFonts w:cs="Times New Roman"/>
                <w:color w:val="000000"/>
                <w:szCs w:val="22"/>
                <w:lang w:val="el-GR" w:eastAsia="el-GR"/>
              </w:rPr>
              <w:t>•</w:t>
            </w:r>
            <w:r w:rsidRPr="00E20C41">
              <w:rPr>
                <w:rFonts w:cs="Times New Roman"/>
                <w:color w:val="000000"/>
                <w:szCs w:val="22"/>
                <w:lang w:val="el-GR" w:eastAsia="el-GR"/>
              </w:rPr>
              <w:tab/>
              <w:t>Να παρέχεται πλήρης τεχνική υποστήριξη και άμεση ανταπόκριση από ειδικευμένο τεχνικό προσωπικό της προμηθεύτριας εταιρείας, εκπαιδευμένο και πιστοποιημένο από τον κατασκευαστικό οίκο. Να κατατεθούν τα επίσημα πιστοποιητικά εκπαίδευσης από τον κατασκευαστικό οίκο του συστήματος</w:t>
            </w:r>
          </w:p>
        </w:tc>
        <w:tc>
          <w:tcPr>
            <w:tcW w:w="992"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E20C41" w:rsidTr="00CD268E">
        <w:trPr>
          <w:trHeight w:val="315"/>
        </w:trPr>
        <w:tc>
          <w:tcPr>
            <w:tcW w:w="5812" w:type="dxa"/>
            <w:shd w:val="clear" w:color="auto" w:fill="auto"/>
            <w:noWrap/>
            <w:vAlign w:val="center"/>
          </w:tcPr>
          <w:p w:rsidR="00024ADB" w:rsidRPr="00E20C41" w:rsidRDefault="00024ADB" w:rsidP="00CD268E">
            <w:pPr>
              <w:suppressAutoHyphens w:val="0"/>
              <w:spacing w:after="0"/>
              <w:jc w:val="left"/>
              <w:rPr>
                <w:rFonts w:cs="Times New Roman"/>
                <w:color w:val="000000"/>
                <w:szCs w:val="22"/>
                <w:lang w:val="el-GR" w:eastAsia="el-GR"/>
              </w:rPr>
            </w:pPr>
          </w:p>
          <w:p w:rsidR="00024ADB" w:rsidRPr="00E20C41" w:rsidRDefault="00024ADB" w:rsidP="00CD268E">
            <w:pPr>
              <w:suppressAutoHyphens w:val="0"/>
              <w:spacing w:after="0"/>
              <w:jc w:val="left"/>
              <w:rPr>
                <w:rFonts w:cs="Times New Roman"/>
                <w:color w:val="000000"/>
                <w:szCs w:val="22"/>
                <w:lang w:val="el-GR" w:eastAsia="el-GR"/>
              </w:rPr>
            </w:pPr>
            <w:r w:rsidRPr="00E20C41">
              <w:rPr>
                <w:rFonts w:cs="Times New Roman"/>
                <w:color w:val="000000"/>
                <w:szCs w:val="22"/>
                <w:lang w:val="el-GR" w:eastAsia="el-GR"/>
              </w:rPr>
              <w:t>•</w:t>
            </w:r>
            <w:r w:rsidRPr="00E20C41">
              <w:rPr>
                <w:rFonts w:cs="Times New Roman"/>
                <w:color w:val="000000"/>
                <w:szCs w:val="22"/>
                <w:lang w:val="el-GR" w:eastAsia="el-GR"/>
              </w:rPr>
              <w:tab/>
              <w:t>Να παρέχεται πλήρης επιστημονική υποστήριξη από προσωπικό της προμηθεύτριας εταιρείας, εκπαιδευμένο και πιστοποιημένο από τον κατασκευαστικό οίκο (application). Να κατατεθούν τα επίσημα πιστοποιητικά εκπαίδευσης από τον κατασκευαστικό οίκο του συστήματος</w:t>
            </w:r>
          </w:p>
          <w:p w:rsidR="00024ADB" w:rsidRPr="00E20C41" w:rsidRDefault="00024ADB" w:rsidP="00CD268E">
            <w:pPr>
              <w:suppressAutoHyphens w:val="0"/>
              <w:spacing w:after="0"/>
              <w:jc w:val="left"/>
              <w:rPr>
                <w:rFonts w:cs="Times New Roman"/>
                <w:color w:val="000000"/>
                <w:szCs w:val="22"/>
                <w:lang w:val="el-GR" w:eastAsia="el-GR"/>
              </w:rPr>
            </w:pPr>
          </w:p>
        </w:tc>
        <w:tc>
          <w:tcPr>
            <w:tcW w:w="992"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r>
      <w:tr w:rsidR="00024ADB" w:rsidRPr="00E20C41" w:rsidTr="00CD268E">
        <w:trPr>
          <w:trHeight w:val="814"/>
        </w:trPr>
        <w:tc>
          <w:tcPr>
            <w:tcW w:w="5812" w:type="dxa"/>
            <w:shd w:val="clear" w:color="auto" w:fill="auto"/>
            <w:noWrap/>
            <w:vAlign w:val="center"/>
          </w:tcPr>
          <w:p w:rsidR="00024ADB" w:rsidRPr="00E20C41" w:rsidRDefault="00024ADB" w:rsidP="00CD268E">
            <w:pPr>
              <w:suppressAutoHyphens w:val="0"/>
              <w:spacing w:after="0"/>
              <w:jc w:val="left"/>
              <w:rPr>
                <w:rFonts w:cs="Times New Roman"/>
                <w:color w:val="000000"/>
                <w:sz w:val="24"/>
                <w:lang w:val="el-GR" w:eastAsia="el-GR"/>
              </w:rPr>
            </w:pPr>
            <w:r w:rsidRPr="00E20C41">
              <w:rPr>
                <w:rFonts w:cs="Times New Roman"/>
                <w:color w:val="000000"/>
                <w:sz w:val="24"/>
                <w:lang w:val="el-GR" w:eastAsia="el-GR"/>
              </w:rPr>
              <w:t>•</w:t>
            </w:r>
            <w:r w:rsidRPr="00E20C41">
              <w:rPr>
                <w:rFonts w:cs="Times New Roman"/>
                <w:color w:val="000000"/>
                <w:sz w:val="24"/>
                <w:lang w:val="el-GR" w:eastAsia="el-GR"/>
              </w:rPr>
              <w:tab/>
              <w:t>Να παρέχεται εγγύηση καλής λειτουργίας για ένα (1) έτος από την ημερομηνία παράδοσης.</w:t>
            </w:r>
          </w:p>
        </w:tc>
        <w:tc>
          <w:tcPr>
            <w:tcW w:w="992"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c>
          <w:tcPr>
            <w:tcW w:w="993"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c>
          <w:tcPr>
            <w:tcW w:w="1701" w:type="dxa"/>
          </w:tcPr>
          <w:p w:rsidR="00024ADB" w:rsidRPr="00E20C41" w:rsidRDefault="00024ADB" w:rsidP="00CD268E">
            <w:pPr>
              <w:suppressAutoHyphens w:val="0"/>
              <w:spacing w:after="0"/>
              <w:ind w:firstLineChars="300" w:firstLine="720"/>
              <w:jc w:val="left"/>
              <w:rPr>
                <w:rFonts w:cs="Times New Roman"/>
                <w:color w:val="000000"/>
                <w:sz w:val="24"/>
                <w:lang w:val="el-GR" w:eastAsia="el-GR"/>
              </w:rPr>
            </w:pPr>
          </w:p>
        </w:tc>
      </w:tr>
    </w:tbl>
    <w:p w:rsidR="00024ADB" w:rsidRPr="00E20C41" w:rsidRDefault="00024ADB" w:rsidP="00024ADB">
      <w:pPr>
        <w:rPr>
          <w:sz w:val="24"/>
          <w:lang w:val="el-GR"/>
        </w:rPr>
      </w:pPr>
    </w:p>
    <w:p w:rsidR="00024ADB" w:rsidRPr="00A13071" w:rsidRDefault="00024ADB" w:rsidP="00024ADB">
      <w:pPr>
        <w:rPr>
          <w:sz w:val="24"/>
          <w:lang w:val="el-G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6"/>
        <w:gridCol w:w="2949"/>
        <w:gridCol w:w="734"/>
        <w:gridCol w:w="729"/>
        <w:gridCol w:w="1644"/>
      </w:tblGrid>
      <w:tr w:rsidR="00024ADB" w:rsidRPr="00691A50" w:rsidTr="00024ADB">
        <w:trPr>
          <w:trHeight w:val="613"/>
        </w:trPr>
        <w:tc>
          <w:tcPr>
            <w:tcW w:w="454" w:type="dxa"/>
            <w:shd w:val="clear" w:color="auto" w:fill="auto"/>
            <w:noWrap/>
            <w:vAlign w:val="center"/>
          </w:tcPr>
          <w:p w:rsidR="00024ADB" w:rsidRPr="0048709B" w:rsidRDefault="00024ADB" w:rsidP="00CD268E">
            <w:pPr>
              <w:suppressAutoHyphens w:val="0"/>
              <w:spacing w:after="0"/>
              <w:ind w:firstLineChars="300" w:firstLine="720"/>
              <w:jc w:val="left"/>
              <w:rPr>
                <w:rFonts w:cs="Times New Roman"/>
                <w:b/>
                <w:color w:val="000000"/>
                <w:sz w:val="24"/>
                <w:lang w:val="el-GR" w:eastAsia="el-GR"/>
              </w:rPr>
            </w:pPr>
            <w:r w:rsidRPr="0048709B">
              <w:rPr>
                <w:rFonts w:cs="Times New Roman"/>
                <w:b/>
                <w:color w:val="000000"/>
                <w:sz w:val="24"/>
                <w:lang w:val="el-GR" w:eastAsia="el-GR"/>
              </w:rPr>
              <w:t>ΑΑ/Α</w:t>
            </w:r>
          </w:p>
        </w:tc>
        <w:tc>
          <w:tcPr>
            <w:tcW w:w="2420" w:type="dxa"/>
          </w:tcPr>
          <w:p w:rsidR="00024ADB" w:rsidRPr="00691A50" w:rsidRDefault="00024ADB" w:rsidP="00CD268E">
            <w:pPr>
              <w:suppressAutoHyphens w:val="0"/>
              <w:spacing w:after="0"/>
              <w:jc w:val="left"/>
              <w:rPr>
                <w:rFonts w:cs="Times New Roman"/>
                <w:color w:val="000000"/>
                <w:sz w:val="24"/>
                <w:lang w:val="el-GR" w:eastAsia="el-GR"/>
              </w:rPr>
            </w:pPr>
            <w:r w:rsidRPr="005C378A">
              <w:rPr>
                <w:b/>
                <w:szCs w:val="22"/>
              </w:rPr>
              <w:t>Περιγραφή είδους</w:t>
            </w:r>
          </w:p>
        </w:tc>
        <w:tc>
          <w:tcPr>
            <w:tcW w:w="3266" w:type="dxa"/>
          </w:tcPr>
          <w:p w:rsidR="00024ADB" w:rsidRPr="00691A50" w:rsidRDefault="00024ADB" w:rsidP="00CD268E">
            <w:pPr>
              <w:suppressAutoHyphens w:val="0"/>
              <w:spacing w:after="0"/>
              <w:ind w:firstLineChars="300" w:firstLine="660"/>
              <w:jc w:val="left"/>
              <w:rPr>
                <w:rFonts w:cs="Times New Roman"/>
                <w:color w:val="000000"/>
                <w:sz w:val="24"/>
                <w:lang w:val="el-GR" w:eastAsia="el-GR"/>
              </w:rPr>
            </w:pPr>
            <w:r w:rsidRPr="005C378A">
              <w:rPr>
                <w:b/>
                <w:szCs w:val="22"/>
              </w:rPr>
              <w:t>Τεχνικά χαρακτηριστικά</w:t>
            </w:r>
          </w:p>
        </w:tc>
        <w:tc>
          <w:tcPr>
            <w:tcW w:w="847" w:type="dxa"/>
          </w:tcPr>
          <w:p w:rsidR="00024ADB" w:rsidRPr="0048709B" w:rsidRDefault="00024ADB" w:rsidP="00CD268E">
            <w:pPr>
              <w:suppressAutoHyphens w:val="0"/>
              <w:spacing w:after="0"/>
              <w:jc w:val="left"/>
              <w:rPr>
                <w:rFonts w:cs="Times New Roman"/>
                <w:b/>
                <w:color w:val="000000"/>
                <w:sz w:val="24"/>
                <w:lang w:val="el-GR" w:eastAsia="el-GR"/>
              </w:rPr>
            </w:pPr>
            <w:r w:rsidRPr="0048709B">
              <w:rPr>
                <w:rFonts w:cs="Times New Roman"/>
                <w:b/>
                <w:color w:val="000000"/>
                <w:sz w:val="24"/>
                <w:lang w:val="el-GR" w:eastAsia="el-GR"/>
              </w:rPr>
              <w:t>ΝΑΙ</w:t>
            </w:r>
          </w:p>
        </w:tc>
        <w:tc>
          <w:tcPr>
            <w:tcW w:w="844" w:type="dxa"/>
          </w:tcPr>
          <w:p w:rsidR="00024ADB" w:rsidRPr="0048709B" w:rsidRDefault="00024ADB" w:rsidP="00CD268E">
            <w:pPr>
              <w:suppressAutoHyphens w:val="0"/>
              <w:spacing w:after="0"/>
              <w:jc w:val="left"/>
              <w:rPr>
                <w:rFonts w:cs="Times New Roman"/>
                <w:b/>
                <w:color w:val="000000"/>
                <w:sz w:val="24"/>
                <w:lang w:val="el-GR" w:eastAsia="el-GR"/>
              </w:rPr>
            </w:pPr>
            <w:r w:rsidRPr="0048709B">
              <w:rPr>
                <w:rFonts w:cs="Times New Roman"/>
                <w:b/>
                <w:color w:val="000000"/>
                <w:sz w:val="24"/>
                <w:lang w:val="el-GR" w:eastAsia="el-GR"/>
              </w:rPr>
              <w:t>ΟΧΙ</w:t>
            </w:r>
          </w:p>
        </w:tc>
        <w:tc>
          <w:tcPr>
            <w:tcW w:w="1667" w:type="dxa"/>
          </w:tcPr>
          <w:p w:rsidR="00024ADB" w:rsidRPr="0048709B" w:rsidRDefault="00024ADB" w:rsidP="00CD268E">
            <w:pPr>
              <w:suppressAutoHyphens w:val="0"/>
              <w:spacing w:after="0"/>
              <w:jc w:val="left"/>
              <w:rPr>
                <w:rFonts w:cs="Times New Roman"/>
                <w:b/>
                <w:color w:val="000000"/>
                <w:sz w:val="24"/>
                <w:lang w:val="el-GR" w:eastAsia="el-GR"/>
              </w:rPr>
            </w:pPr>
            <w:r w:rsidRPr="0048709B">
              <w:rPr>
                <w:rFonts w:cs="Times New Roman"/>
                <w:b/>
                <w:color w:val="000000"/>
                <w:sz w:val="24"/>
                <w:lang w:val="el-GR" w:eastAsia="el-GR"/>
              </w:rPr>
              <w:t>ΠΑΡΑΠΟΜΠΗ</w:t>
            </w:r>
          </w:p>
        </w:tc>
      </w:tr>
      <w:tr w:rsidR="00024ADB" w:rsidRPr="00691A50" w:rsidTr="00024ADB">
        <w:trPr>
          <w:trHeight w:val="606"/>
        </w:trPr>
        <w:tc>
          <w:tcPr>
            <w:tcW w:w="454" w:type="dxa"/>
            <w:shd w:val="clear" w:color="auto" w:fill="auto"/>
            <w:noWrap/>
            <w:vAlign w:val="center"/>
          </w:tcPr>
          <w:p w:rsidR="00024ADB" w:rsidRPr="00CB3805" w:rsidRDefault="00024ADB" w:rsidP="00CD268E">
            <w:pPr>
              <w:rPr>
                <w:szCs w:val="22"/>
                <w:lang w:val="el-GR"/>
              </w:rPr>
            </w:pPr>
            <w:r>
              <w:rPr>
                <w:szCs w:val="22"/>
                <w:lang w:val="el-GR"/>
              </w:rPr>
              <w:t>1.1</w:t>
            </w:r>
          </w:p>
        </w:tc>
        <w:tc>
          <w:tcPr>
            <w:tcW w:w="2420" w:type="dxa"/>
          </w:tcPr>
          <w:p w:rsidR="00024ADB" w:rsidRPr="00691A50" w:rsidRDefault="00024ADB" w:rsidP="00CD268E">
            <w:pPr>
              <w:suppressAutoHyphens w:val="0"/>
              <w:spacing w:after="0"/>
              <w:jc w:val="left"/>
              <w:rPr>
                <w:rFonts w:cs="Times New Roman"/>
                <w:color w:val="000000"/>
                <w:sz w:val="24"/>
                <w:lang w:val="el-GR" w:eastAsia="el-GR"/>
              </w:rPr>
            </w:pPr>
            <w:r>
              <w:rPr>
                <w:szCs w:val="22"/>
              </w:rPr>
              <w:t xml:space="preserve">Σύστημα </w:t>
            </w:r>
            <w:r>
              <w:rPr>
                <w:szCs w:val="22"/>
                <w:lang w:val="en-US"/>
              </w:rPr>
              <w:t>DIGITAL PCR</w:t>
            </w:r>
          </w:p>
        </w:tc>
        <w:tc>
          <w:tcPr>
            <w:tcW w:w="3266" w:type="dxa"/>
          </w:tcPr>
          <w:p w:rsidR="00024ADB" w:rsidRPr="00691A50" w:rsidRDefault="00024ADB" w:rsidP="00CD268E">
            <w:pPr>
              <w:suppressAutoHyphens w:val="0"/>
              <w:spacing w:after="0"/>
              <w:jc w:val="left"/>
              <w:rPr>
                <w:rFonts w:cs="Times New Roman"/>
                <w:color w:val="000000"/>
                <w:sz w:val="24"/>
                <w:lang w:val="el-GR" w:eastAsia="el-GR"/>
              </w:rPr>
            </w:pPr>
            <w:r>
              <w:rPr>
                <w:szCs w:val="22"/>
                <w:lang w:val="el-GR"/>
              </w:rPr>
              <w:t xml:space="preserve"> </w:t>
            </w:r>
            <w:r>
              <w:rPr>
                <w:szCs w:val="22"/>
              </w:rPr>
              <w:t>Όπως περιγράφονται ανωτέρω</w:t>
            </w:r>
          </w:p>
        </w:tc>
        <w:tc>
          <w:tcPr>
            <w:tcW w:w="84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844"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66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024ADB">
        <w:trPr>
          <w:trHeight w:val="679"/>
        </w:trPr>
        <w:tc>
          <w:tcPr>
            <w:tcW w:w="454" w:type="dxa"/>
            <w:shd w:val="clear" w:color="auto" w:fill="auto"/>
            <w:noWrap/>
            <w:vAlign w:val="center"/>
          </w:tcPr>
          <w:p w:rsidR="00024ADB" w:rsidRPr="00CB3805" w:rsidRDefault="00024ADB" w:rsidP="00CD268E">
            <w:pPr>
              <w:suppressAutoHyphens w:val="0"/>
              <w:spacing w:after="0"/>
              <w:jc w:val="left"/>
              <w:rPr>
                <w:rFonts w:cs="Times New Roman"/>
                <w:color w:val="000000"/>
                <w:sz w:val="24"/>
                <w:lang w:val="el-GR" w:eastAsia="el-GR"/>
              </w:rPr>
            </w:pPr>
            <w:r>
              <w:rPr>
                <w:rFonts w:cs="Times New Roman"/>
                <w:color w:val="000000"/>
                <w:sz w:val="24"/>
                <w:lang w:val="el-GR" w:eastAsia="el-GR"/>
              </w:rPr>
              <w:t>1.2</w:t>
            </w:r>
          </w:p>
        </w:tc>
        <w:tc>
          <w:tcPr>
            <w:tcW w:w="2420" w:type="dxa"/>
          </w:tcPr>
          <w:p w:rsidR="00024ADB" w:rsidRPr="00691A50" w:rsidRDefault="00024ADB" w:rsidP="00CD268E">
            <w:pPr>
              <w:suppressAutoHyphens w:val="0"/>
              <w:spacing w:after="0"/>
              <w:jc w:val="left"/>
              <w:rPr>
                <w:rFonts w:cs="Times New Roman"/>
                <w:color w:val="000000"/>
                <w:sz w:val="24"/>
                <w:lang w:val="el-GR" w:eastAsia="el-GR"/>
              </w:rPr>
            </w:pPr>
            <w:r w:rsidRPr="0048709B">
              <w:rPr>
                <w:rFonts w:cs="Times New Roman"/>
                <w:color w:val="000000"/>
                <w:sz w:val="24"/>
                <w:lang w:val="el-GR" w:eastAsia="el-GR"/>
              </w:rPr>
              <w:t>Κιτ για χρήση στο σύστημα DIGITAL PCR</w:t>
            </w:r>
          </w:p>
        </w:tc>
        <w:tc>
          <w:tcPr>
            <w:tcW w:w="3266"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r w:rsidRPr="0048709B">
              <w:rPr>
                <w:rFonts w:cs="Times New Roman"/>
                <w:color w:val="000000"/>
                <w:sz w:val="24"/>
                <w:lang w:val="el-GR" w:eastAsia="el-GR"/>
              </w:rPr>
              <w:t xml:space="preserve">Κιτ για την απόλυτη ποσοτικοποίηση RNA στόχων ή RNA &amp; DNA στόχων(έως 5 στόχους) με εφαρμογή Digital PCR με νανοπλάκες. Το κιτ να είναι συμβατό με το </w:t>
            </w:r>
            <w:r w:rsidRPr="0048709B">
              <w:rPr>
                <w:rFonts w:cs="Times New Roman"/>
                <w:color w:val="000000"/>
                <w:sz w:val="24"/>
                <w:lang w:val="el-GR" w:eastAsia="el-GR"/>
              </w:rPr>
              <w:lastRenderedPageBreak/>
              <w:t>προσφερόμενο σύστημα Digital PCR. Να περιλαμβάνει υψηλής ποιότητας πολυμεράση η οποία να παραμένει ανενεργή σε θερμοκρασία δωματίου (hot start). Να  συνοδεύεται από ένα RNA μάρτυρα εσωτερικού ελέγχου, ο οποίος να μπορεί να χρησιμοποιηθεί προαιρετικά ως έλεγχος της αντίστροφης μεταγραφής και της ενίσχυσης του στόχου. Να μπορεί να χρησιμοποιηθεί σε συνδυασμό με probes υδρόλυσης. Να δύναται να χρησιμοποιηθεί για εφαρμογές που απαιτούν ταυτόχρονη ανίχνευση στόχων RNA και DNA. Να περιέχει μίγμα αντίδρασης 4x (Mastermix) βελτιστοποιημένο για microfluidic χρήση σε νανοπλάκες, Reverse Transcription Mix 100x και RNase-free νερό. Η συσκευασία να περιέχει αντιδραστήρια αρκετά για τουλάχιστον 500 αντιδράσεις.</w:t>
            </w:r>
          </w:p>
        </w:tc>
        <w:tc>
          <w:tcPr>
            <w:tcW w:w="84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844"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66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r w:rsidR="00024ADB" w:rsidRPr="00691A50" w:rsidTr="00024ADB">
        <w:trPr>
          <w:trHeight w:val="705"/>
        </w:trPr>
        <w:tc>
          <w:tcPr>
            <w:tcW w:w="454" w:type="dxa"/>
            <w:shd w:val="clear" w:color="auto" w:fill="auto"/>
            <w:noWrap/>
            <w:vAlign w:val="center"/>
          </w:tcPr>
          <w:p w:rsidR="00024ADB" w:rsidRPr="00691A50" w:rsidRDefault="00024ADB" w:rsidP="00CD268E">
            <w:pPr>
              <w:suppressAutoHyphens w:val="0"/>
              <w:spacing w:after="0"/>
              <w:jc w:val="left"/>
              <w:rPr>
                <w:rFonts w:cs="Times New Roman"/>
                <w:color w:val="000000"/>
                <w:sz w:val="24"/>
                <w:lang w:val="el-GR" w:eastAsia="el-GR"/>
              </w:rPr>
            </w:pPr>
            <w:r>
              <w:rPr>
                <w:rFonts w:cs="Times New Roman"/>
                <w:color w:val="000000"/>
                <w:sz w:val="24"/>
                <w:lang w:val="el-GR" w:eastAsia="el-GR"/>
              </w:rPr>
              <w:lastRenderedPageBreak/>
              <w:t>1.3</w:t>
            </w:r>
          </w:p>
        </w:tc>
        <w:tc>
          <w:tcPr>
            <w:tcW w:w="2420" w:type="dxa"/>
          </w:tcPr>
          <w:p w:rsidR="00024ADB" w:rsidRPr="00691A50" w:rsidRDefault="00024ADB" w:rsidP="00CD268E">
            <w:pPr>
              <w:suppressAutoHyphens w:val="0"/>
              <w:spacing w:after="0"/>
              <w:jc w:val="left"/>
              <w:rPr>
                <w:rFonts w:cs="Times New Roman"/>
                <w:color w:val="000000"/>
                <w:sz w:val="24"/>
                <w:lang w:val="el-GR" w:eastAsia="el-GR"/>
              </w:rPr>
            </w:pPr>
            <w:r w:rsidRPr="0048709B">
              <w:rPr>
                <w:rFonts w:cs="Times New Roman"/>
                <w:color w:val="000000"/>
                <w:sz w:val="24"/>
                <w:lang w:val="el-GR" w:eastAsia="el-GR"/>
              </w:rPr>
              <w:t>Πλάκες κατάλληλες για το σύστημα DIGITAL PCR</w:t>
            </w:r>
          </w:p>
        </w:tc>
        <w:tc>
          <w:tcPr>
            <w:tcW w:w="3266" w:type="dxa"/>
          </w:tcPr>
          <w:p w:rsidR="00024ADB" w:rsidRPr="00691A50" w:rsidRDefault="00024ADB" w:rsidP="00CD268E">
            <w:pPr>
              <w:suppressAutoHyphens w:val="0"/>
              <w:spacing w:after="0"/>
              <w:jc w:val="left"/>
              <w:rPr>
                <w:rFonts w:cs="Times New Roman"/>
                <w:color w:val="000000"/>
                <w:sz w:val="24"/>
                <w:lang w:val="el-GR" w:eastAsia="el-GR"/>
              </w:rPr>
            </w:pPr>
            <w:r w:rsidRPr="0048709B">
              <w:rPr>
                <w:rFonts w:cs="Times New Roman"/>
                <w:color w:val="000000"/>
                <w:sz w:val="24"/>
                <w:lang w:val="el-GR" w:eastAsia="el-GR"/>
              </w:rPr>
              <w:t xml:space="preserve">Microfluidic πλάκες, οι οποίες να φέρουν 8 διαμερισματοποιημένα βοθρία (wells), με 26.000 διαμερίσματα ανά βοθρίο. Ο όγκος αντίδρασης ανά βοθρίο να είναι 40μl. Η συσκευασία να περιλαμβάνει τουλάχιστον 10 πλάκες. Συμβατές με το </w:t>
            </w:r>
            <w:r w:rsidRPr="0048709B">
              <w:rPr>
                <w:rFonts w:cs="Times New Roman"/>
                <w:color w:val="000000"/>
                <w:sz w:val="24"/>
                <w:lang w:val="el-GR" w:eastAsia="el-GR"/>
              </w:rPr>
              <w:lastRenderedPageBreak/>
              <w:t>προσφερόμενο σύστημα Digital PCR.</w:t>
            </w:r>
          </w:p>
        </w:tc>
        <w:tc>
          <w:tcPr>
            <w:tcW w:w="84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844"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c>
          <w:tcPr>
            <w:tcW w:w="1667" w:type="dxa"/>
          </w:tcPr>
          <w:p w:rsidR="00024ADB" w:rsidRPr="00691A50" w:rsidRDefault="00024ADB" w:rsidP="00CD268E">
            <w:pPr>
              <w:suppressAutoHyphens w:val="0"/>
              <w:spacing w:after="0"/>
              <w:ind w:firstLineChars="300" w:firstLine="720"/>
              <w:jc w:val="left"/>
              <w:rPr>
                <w:rFonts w:cs="Times New Roman"/>
                <w:color w:val="000000"/>
                <w:sz w:val="24"/>
                <w:lang w:val="el-GR" w:eastAsia="el-GR"/>
              </w:rPr>
            </w:pPr>
          </w:p>
        </w:tc>
      </w:tr>
    </w:tbl>
    <w:p w:rsidR="00024ADB" w:rsidRPr="00A13071" w:rsidRDefault="00024ADB" w:rsidP="00024ADB">
      <w:pPr>
        <w:rPr>
          <w:sz w:val="24"/>
          <w:lang w:val="el-GR"/>
        </w:rPr>
      </w:pPr>
    </w:p>
    <w:p w:rsidR="00024ADB" w:rsidRPr="00A13071" w:rsidRDefault="00024ADB" w:rsidP="00024ADB">
      <w:pPr>
        <w:rPr>
          <w:sz w:val="24"/>
          <w:lang w:val="el-GR"/>
        </w:rPr>
      </w:pPr>
    </w:p>
    <w:p w:rsidR="00024ADB" w:rsidRPr="00A13071" w:rsidRDefault="00024ADB" w:rsidP="00024ADB">
      <w:pPr>
        <w:rPr>
          <w:sz w:val="24"/>
          <w:lang w:val="el-GR"/>
        </w:rPr>
      </w:pPr>
    </w:p>
    <w:p w:rsidR="00024ADB" w:rsidRPr="00A13071" w:rsidRDefault="00024ADB" w:rsidP="00024ADB">
      <w:pPr>
        <w:rPr>
          <w:sz w:val="24"/>
          <w:lang w:val="el-GR"/>
        </w:rPr>
      </w:pPr>
    </w:p>
    <w:p w:rsidR="00024ADB" w:rsidRPr="00A13071" w:rsidRDefault="00024ADB" w:rsidP="00024ADB">
      <w:pPr>
        <w:rPr>
          <w:sz w:val="24"/>
          <w:lang w:val="el-GR"/>
        </w:rPr>
      </w:pPr>
    </w:p>
    <w:p w:rsidR="00024ADB" w:rsidRPr="00A13071" w:rsidRDefault="00024ADB" w:rsidP="00024ADB">
      <w:pPr>
        <w:rPr>
          <w:sz w:val="24"/>
          <w:lang w:val="el-GR"/>
        </w:rPr>
      </w:pPr>
    </w:p>
    <w:p w:rsidR="00024ADB" w:rsidRDefault="00024ADB" w:rsidP="00024ADB">
      <w:pPr>
        <w:rPr>
          <w:sz w:val="24"/>
          <w:lang w:val="el-GR"/>
        </w:rPr>
      </w:pPr>
    </w:p>
    <w:p w:rsidR="00024ADB" w:rsidRDefault="00024ADB" w:rsidP="00024ADB">
      <w:pPr>
        <w:rPr>
          <w:sz w:val="24"/>
          <w:lang w:val="el-GR"/>
        </w:rPr>
      </w:pPr>
    </w:p>
    <w:p w:rsidR="00024ADB" w:rsidRDefault="00024ADB" w:rsidP="00024ADB">
      <w:pPr>
        <w:rPr>
          <w:sz w:val="24"/>
          <w:lang w:val="el-GR"/>
        </w:rPr>
      </w:pPr>
    </w:p>
    <w:p w:rsidR="00024ADB" w:rsidRDefault="00024ADB" w:rsidP="00024ADB">
      <w:pPr>
        <w:rPr>
          <w:sz w:val="24"/>
          <w:lang w:val="el-GR"/>
        </w:rPr>
      </w:pPr>
    </w:p>
    <w:p w:rsidR="00024ADB" w:rsidRDefault="00024ADB" w:rsidP="00024ADB">
      <w:pPr>
        <w:rPr>
          <w:sz w:val="24"/>
          <w:lang w:val="el-GR"/>
        </w:rPr>
      </w:pPr>
    </w:p>
    <w:p w:rsidR="008A179C" w:rsidRDefault="008A179C"/>
    <w:sectPr w:rsidR="008A1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96273"/>
    <w:multiLevelType w:val="hybridMultilevel"/>
    <w:tmpl w:val="FD788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DB"/>
    <w:rsid w:val="00024ADB"/>
    <w:rsid w:val="008A179C"/>
    <w:rsid w:val="00DE006E"/>
    <w:rsid w:val="00EA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B89A-04F3-4130-8F81-50799A7E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DB"/>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024ADB"/>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2024-11-13T08:42:00Z</dcterms:created>
  <dcterms:modified xsi:type="dcterms:W3CDTF">2024-11-13T08:42:00Z</dcterms:modified>
</cp:coreProperties>
</file>