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98" w:rsidRPr="00F115A1" w:rsidRDefault="00614598" w:rsidP="00614598">
      <w:pPr>
        <w:tabs>
          <w:tab w:val="left" w:pos="2835"/>
        </w:tabs>
        <w:spacing w:line="276" w:lineRule="auto"/>
        <w:ind w:right="-341"/>
        <w:rPr>
          <w:b/>
          <w:szCs w:val="22"/>
          <w:u w:val="single"/>
          <w:lang w:val="el-GR"/>
        </w:rPr>
      </w:pPr>
      <w:r w:rsidRPr="00F115A1">
        <w:rPr>
          <w:b/>
          <w:szCs w:val="22"/>
          <w:u w:val="single"/>
          <w:lang w:val="el-GR"/>
        </w:rPr>
        <w:t>ΦΥΛΛΟ ΣΥΜΜΟΡΦΩΣΗΣ</w:t>
      </w:r>
    </w:p>
    <w:p w:rsidR="00AF267C" w:rsidRDefault="00AF267C">
      <w:pPr>
        <w:rPr>
          <w:lang w:val="el-GR"/>
        </w:rPr>
      </w:pPr>
    </w:p>
    <w:p w:rsidR="00614598" w:rsidRDefault="00614598">
      <w:pPr>
        <w:rPr>
          <w:lang w:val="el-GR"/>
        </w:rPr>
      </w:pPr>
    </w:p>
    <w:p w:rsidR="00614598" w:rsidRDefault="00614598">
      <w:pPr>
        <w:rPr>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609"/>
        <w:gridCol w:w="999"/>
        <w:gridCol w:w="836"/>
        <w:gridCol w:w="1402"/>
      </w:tblGrid>
      <w:tr w:rsidR="00614598" w:rsidRPr="0044731C" w:rsidTr="004F05FD">
        <w:trPr>
          <w:trHeight w:val="3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b/>
                <w:bCs/>
                <w:color w:val="000000"/>
                <w:szCs w:val="22"/>
                <w:lang w:eastAsia="en-GB"/>
              </w:rPr>
            </w:pPr>
            <w:r w:rsidRPr="0044731C">
              <w:rPr>
                <w:rFonts w:cs="Times New Roman"/>
                <w:b/>
                <w:bCs/>
                <w:color w:val="000000"/>
                <w:szCs w:val="22"/>
                <w:lang w:eastAsia="en-GB"/>
              </w:rPr>
              <w:t>Α/Α</w:t>
            </w:r>
          </w:p>
        </w:tc>
        <w:tc>
          <w:tcPr>
            <w:tcW w:w="2778" w:type="pct"/>
            <w:shd w:val="clear" w:color="auto" w:fill="auto"/>
            <w:noWrap/>
            <w:vAlign w:val="bottom"/>
            <w:hideMark/>
          </w:tcPr>
          <w:p w:rsidR="00614598" w:rsidRPr="0044731C" w:rsidRDefault="00614598" w:rsidP="004F05FD">
            <w:pPr>
              <w:suppressAutoHyphens w:val="0"/>
              <w:spacing w:after="0"/>
              <w:jc w:val="center"/>
              <w:rPr>
                <w:rFonts w:cs="Times New Roman"/>
                <w:b/>
                <w:bCs/>
                <w:color w:val="000000"/>
                <w:szCs w:val="22"/>
                <w:lang w:eastAsia="en-GB"/>
              </w:rPr>
            </w:pPr>
            <w:r w:rsidRPr="0044731C">
              <w:rPr>
                <w:rFonts w:cs="Times New Roman"/>
                <w:b/>
                <w:bCs/>
                <w:color w:val="000000"/>
                <w:szCs w:val="22"/>
                <w:lang w:val="en-US" w:eastAsia="en-GB"/>
              </w:rPr>
              <w:t xml:space="preserve">ΥΠΟΧΡΕΩΣΕΙΣ </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b/>
                <w:bCs/>
                <w:color w:val="000000"/>
                <w:szCs w:val="22"/>
                <w:lang w:eastAsia="en-GB"/>
              </w:rPr>
            </w:pPr>
            <w:r w:rsidRPr="0044731C">
              <w:rPr>
                <w:rFonts w:cs="Times New Roman"/>
                <w:b/>
                <w:bCs/>
                <w:color w:val="000000"/>
                <w:szCs w:val="22"/>
                <w:lang w:val="en-US" w:eastAsia="en-GB"/>
              </w:rPr>
              <w:t xml:space="preserve">ΝΑΙ </w:t>
            </w:r>
          </w:p>
        </w:tc>
        <w:tc>
          <w:tcPr>
            <w:tcW w:w="504" w:type="pct"/>
          </w:tcPr>
          <w:p w:rsidR="00614598" w:rsidRPr="009874A6" w:rsidRDefault="00614598" w:rsidP="004F05FD">
            <w:pPr>
              <w:suppressAutoHyphens w:val="0"/>
              <w:spacing w:after="0"/>
              <w:jc w:val="left"/>
              <w:rPr>
                <w:rFonts w:cs="Times New Roman"/>
                <w:b/>
                <w:bCs/>
                <w:color w:val="000000"/>
                <w:szCs w:val="22"/>
                <w:lang w:val="el-GR" w:eastAsia="en-GB"/>
              </w:rPr>
            </w:pPr>
            <w:r>
              <w:rPr>
                <w:rFonts w:cs="Times New Roman"/>
                <w:b/>
                <w:bCs/>
                <w:color w:val="000000"/>
                <w:szCs w:val="22"/>
                <w:lang w:val="el-GR" w:eastAsia="en-GB"/>
              </w:rPr>
              <w:t xml:space="preserve">ΟΧΙ </w:t>
            </w:r>
          </w:p>
        </w:tc>
        <w:tc>
          <w:tcPr>
            <w:tcW w:w="845" w:type="pct"/>
          </w:tcPr>
          <w:p w:rsidR="00614598" w:rsidRDefault="00614598" w:rsidP="004F05FD">
            <w:pPr>
              <w:suppressAutoHyphens w:val="0"/>
              <w:spacing w:after="0"/>
              <w:jc w:val="left"/>
              <w:rPr>
                <w:rFonts w:cs="Times New Roman"/>
                <w:b/>
                <w:bCs/>
                <w:color w:val="000000"/>
                <w:szCs w:val="22"/>
                <w:lang w:val="el-GR" w:eastAsia="en-GB"/>
              </w:rPr>
            </w:pPr>
            <w:r>
              <w:rPr>
                <w:rFonts w:cs="Times New Roman"/>
                <w:b/>
                <w:bCs/>
                <w:color w:val="000000"/>
                <w:szCs w:val="22"/>
                <w:lang w:val="el-GR" w:eastAsia="en-GB"/>
              </w:rPr>
              <w:t xml:space="preserve">ΠΑΡΑΠΟΜΠΗ </w:t>
            </w:r>
          </w:p>
        </w:tc>
      </w:tr>
      <w:tr w:rsidR="00614598" w:rsidRPr="00F115A1" w:rsidTr="004F05FD">
        <w:trPr>
          <w:trHeight w:val="18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Το κόστος για τα παντός είδους μηχανήματα, τα εξαρτήματα και τα υλικά καθαρισμού- </w:t>
            </w:r>
            <w:proofErr w:type="spellStart"/>
            <w:r w:rsidRPr="0044731C">
              <w:rPr>
                <w:rFonts w:eastAsia="Calibri" w:cs="Times New Roman"/>
                <w:color w:val="000000"/>
                <w:szCs w:val="22"/>
                <w:lang w:val="el-GR" w:eastAsia="en-GB"/>
              </w:rPr>
              <w:t>σακκούλες</w:t>
            </w:r>
            <w:proofErr w:type="spellEnd"/>
            <w:r w:rsidRPr="0044731C">
              <w:rPr>
                <w:rFonts w:eastAsia="Calibri" w:cs="Times New Roman"/>
                <w:color w:val="000000"/>
                <w:szCs w:val="22"/>
                <w:lang w:val="el-GR" w:eastAsia="en-GB"/>
              </w:rPr>
              <w:t xml:space="preserve"> που θα χρησιμοποιηθούν θα βαρύνουν αποκλειστικά τον Ανάδοχο και θα πληρούν τις προδιαγραφές «περί υγιεινής και ασφάλειας των εργαζομένων» (Ν. 3850/2010, «Κύρωση του Κώδικα Νόμων για την Υγεία και Ασφάλεια των Εργαζομένων»).</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9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2</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Το σφουγγάρισμα των μαρμάρινων επιφανειών θα γίνεται με υλικό που δεν θα αλλοιώνει ή θα φθείρει με οποιοδήποτε τρόπο την επιφάνεια του μαρμάρου.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9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3</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 xml:space="preserve">Ο Ανάδοχος έχει την υποχρέωση να συγκεντρώνει τα απορρίμματα σε </w:t>
            </w:r>
            <w:proofErr w:type="spellStart"/>
            <w:r w:rsidRPr="0044731C">
              <w:rPr>
                <w:rFonts w:eastAsia="Calibri" w:cs="Times New Roman"/>
                <w:color w:val="000000"/>
                <w:szCs w:val="22"/>
                <w:lang w:val="el-GR" w:eastAsia="en-GB"/>
              </w:rPr>
              <w:t>φωτοβιοδιασπόμενους</w:t>
            </w:r>
            <w:proofErr w:type="spellEnd"/>
            <w:r w:rsidRPr="0044731C">
              <w:rPr>
                <w:rFonts w:eastAsia="Calibri" w:cs="Times New Roman"/>
                <w:color w:val="000000"/>
                <w:szCs w:val="22"/>
                <w:lang w:val="el-GR" w:eastAsia="en-GB"/>
              </w:rPr>
              <w:t xml:space="preserve"> πλαστικούς σάκους και να τα μεταφέρει στους ειδικούς κάδους του Δήμου.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327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4</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Τα υλικά καθαρισμού πρέπει να είναι καταχωρημένα στο Μητρώο Απορρυπαντικών και Καθαριστικών Προϊόντων του Γενικού Χημείου του Κράτους. Τα απολυμαντικά προϊόντα πρέπει να είναι εγκεκριμένα από τον Εθνικό Οργανισμό Φαρμάκων (ΕΟΦ) και να φέρουν τον αριθμό της άδειας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κτιρίου.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2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5</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και υποχρέωση για την πρόσληψη, την αμοιβή και την ασφάλιση του προσωπικού που χρησιμοποιεί για την υλοποίηση της Σύμβασης σύμφωνα με τα οριζόμενα στην κείμενη νομοθεσία.</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2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6</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απασχολήσει αλλοδαπό προσωπικό, έχει την αποκλειστική ευθύνη να φροντίζει, ώστε το προσωπικό αυτό να είναι εφοδιασμένο με άδεια παραμονής και εργασίας και να είναι ασφαλισμένο.</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5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7</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πληρωμής προστίμων ή αποζημιώσεων, σε περίπτωση ατυχήματος ή δυστυχήματος του προσωπικού που θα διαθέτει για την εκτέλεση της Σύμβασης, όπως και κάθε Αστική ή Ποινική Ευθύνη έναντι τρίτων που θα προκύψει άμεσα ή έμμεσα από την εκτέλεση της Σύμβασης.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5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8</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καλύπτει αποκλειστικά με δικά του μέσα τη Γενική Αστική Ευθύνη έναντι τρίτων για ζημιές από ατυχήματα ή παραλείψεις και η κάλυψη επεκτείνεται έτσι ώστε να περιλαμβάνει και την Αστική Ευθύνη του </w:t>
            </w:r>
            <w:proofErr w:type="spellStart"/>
            <w:r w:rsidRPr="0044731C">
              <w:rPr>
                <w:rFonts w:eastAsia="Calibri" w:cs="Times New Roman"/>
                <w:color w:val="000000"/>
                <w:szCs w:val="22"/>
                <w:lang w:val="el-GR" w:eastAsia="en-GB"/>
              </w:rPr>
              <w:t>Ασφαλιζόμενου</w:t>
            </w:r>
            <w:proofErr w:type="spellEnd"/>
            <w:r w:rsidRPr="0044731C">
              <w:rPr>
                <w:rFonts w:eastAsia="Calibri" w:cs="Times New Roman"/>
                <w:color w:val="000000"/>
                <w:szCs w:val="22"/>
                <w:lang w:val="el-GR" w:eastAsia="en-GB"/>
              </w:rPr>
              <w:t xml:space="preserve"> προς το εργατοτεχνικό και υπαλληλικό προσωπικό του.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5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9</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Για λόγους ασφαλείας, ο Ανάδοχος υποχρεούται να κοινοποιεί εγγράφως στην αρμόδια υπηρεσία της Αναθέτουσας Αρχής τα πλήρη στοιχεία (ονοματεπώνυμο και Δελτίο Ταυτότητας) του προσωπικού που θα χρησιμοποιήσει κατά την εκτέλεση της Σύμβασης. </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2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10</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ειδικές περιπτώσεις ύστερα από προηγούμενη ενημέρωση της Αναθέτουσας Αρχής, ο Ανάδοχος υποχρεούται να προσαρμόζει το ωράριο εργασίας, χωρίς αύξηση του προϋπολογισμού.</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2791"/>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11</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αναγνωρίζει και αποδέχεται ότι κάθε πληροφορία που θα τεθεί υπόψη του στο πλαίσιο εκτέλεσης της Σύμβασης είναι αυστηρώς εμπιστευτική. Για αυτό τον λόγο ο Ανάδοχος δεσμεύεται να τηρεί απόλυτη εχεμύθεια, καθώς και να τηρεί τους κανόνες εμπιστευτικότητας, να μη γνωστοποιεί σε τρίτους και να κρατά μυστική οποιαδήποτε πληροφορία περιέρχεται στην αντίληψή του κατά την παροχή των υπηρεσιών του. Επίσης, δεσμεύεται ότι την υποχρέωση αυτή θα τηρήσουν όλοι οι συνεργάτες του και οι εργαζόμενοί του που θα χρησιμοποιεί για την εκτέλεση της Σύμβασης. Σε περίπτωση παραβίασης της παραπάνω υποχρέωσης, η Αναθέτουσα Αρχή δικαιούται να κηρύξει έκπτωτο τον Ανάδοχο. </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3256"/>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12</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διαθέτει το απαραίτητο και κατάλληλα καταρτισμένο προσωπικό για την εκτέλεση της Σύμβασης. Σε περίπτωση που διαπιστώνεται ακαταλληλότητα του απασχολούμενου προσωπικού, ο Ανάδοχος είναι υποχρεωμένος να προβαίνει στην αντικατάστασή του, σύμφωνα με τις υποδείξεις της Αναθέτουσας Αρχής. Η ακαταλληλότητα δεν αφορά μόνο τις ικανότητες και τη δεξιοτεχνία του απασχολούμενου προσωπικού κατά την εκτέλεση της Σύμβασης, αλλά την όλη στάση, συμπεριφορά, τιμιότητα, ευγένεια και άλλα παρόμοια χαρακτηριστικά και η διαπίστωσή της γίνεται κατ’ απόλυτη αιτιολογημένη, εύλογη και αντικειμενική κρίση της Αναθέτουσας Αρχής. Υπόσχεται δε και βεβαιώνει ότι θα επιδεικνύει πνεύμα συνεργασίας κατά τις επαφές με το προσωπικό της Αναθέτουσας Αρχής.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5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13</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για την πλήρη τήρηση των διατάξεων της εργατικής νομοθεσίας περί λ.χ. καταβολής των νόμιμων αποδοχών, τήρησης του νόμιμου ωραρίου, την ασφαλιστική κάλυψη, τους όρους υγιεινής και ασφάλειας των εργαζομένων και πρόληψης του επαγγελματικού κινδύνου.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2871"/>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14</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πάσης φύσεως προσωπικό που θα χρησιμοποιηθεί κατά την εκτέλεση της Σύμβασης ανήκει αποκλειστικά στον Ανάδοχο και δεν συνδέεται με την Αναθέτουσα Αρχή με οποιαδήποτε έννομη σχέση (εξαρτημένης εργασίας, παροχής ανεξάρτητων υπηρεσιών, έργου ή άλλη). Κατ’ ακολουθία η Αναθέτουσα Αρχή δεν έχει προς τα πρόσωπα αυτά καμία υποχρέωση για καταβολή μισθών, ημερομισθίων, αμοιβών, αποζημιώσεων, ασφαλιστικών εισφορών και λοιπών παροχών σε χρήμα ή είδος, οι οποίες βαρύνουν αποκλειστικά και μόνο τον εργοδότη. Η Αναθέτουσα Αρχή δεν έχει υποχρέωση καταβολής αποζημίωσης για υπερωριακή απασχόληση ή οποιασδήποτε άλλης αμοιβής στο προσωπικό του Αναδόχου ή τρίτων.</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6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15</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να διαθέτει προσωπικό που και θα είναι εκπαιδευμένο σε γενικούς και ειδικούς κανόνες υγιεινής. </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44731C" w:rsidTr="004F05FD">
        <w:trPr>
          <w:trHeight w:val="18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16</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εκάστοτε ισχύουσες απαιτήσεις της νομοθεσίας. Τα έξοδα αυτά βαρύνουν αποκλειστικά τον Ανάδοχο.</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eastAsia="en-GB"/>
              </w:rPr>
            </w:pPr>
            <w:r w:rsidRPr="0044731C">
              <w:rPr>
                <w:rFonts w:cs="Times New Roman"/>
                <w:color w:val="000000"/>
                <w:szCs w:val="22"/>
                <w:lang w:eastAsia="en-GB"/>
              </w:rPr>
              <w:t> </w:t>
            </w:r>
          </w:p>
        </w:tc>
        <w:tc>
          <w:tcPr>
            <w:tcW w:w="504" w:type="pct"/>
          </w:tcPr>
          <w:p w:rsidR="00614598" w:rsidRPr="0044731C" w:rsidRDefault="00614598" w:rsidP="004F05FD">
            <w:pPr>
              <w:suppressAutoHyphens w:val="0"/>
              <w:spacing w:after="0"/>
              <w:jc w:val="left"/>
              <w:rPr>
                <w:rFonts w:cs="Times New Roman"/>
                <w:color w:val="000000"/>
                <w:szCs w:val="22"/>
                <w:lang w:eastAsia="en-GB"/>
              </w:rPr>
            </w:pPr>
          </w:p>
        </w:tc>
        <w:tc>
          <w:tcPr>
            <w:tcW w:w="845" w:type="pct"/>
          </w:tcPr>
          <w:p w:rsidR="00614598" w:rsidRPr="0044731C" w:rsidRDefault="00614598" w:rsidP="004F05FD">
            <w:pPr>
              <w:suppressAutoHyphens w:val="0"/>
              <w:spacing w:after="0"/>
              <w:jc w:val="left"/>
              <w:rPr>
                <w:rFonts w:cs="Times New Roman"/>
                <w:color w:val="000000"/>
                <w:szCs w:val="22"/>
                <w:lang w:eastAsia="en-GB"/>
              </w:rPr>
            </w:pPr>
          </w:p>
        </w:tc>
      </w:tr>
      <w:tr w:rsidR="00614598" w:rsidRPr="00F115A1" w:rsidTr="004F05FD">
        <w:trPr>
          <w:trHeight w:val="21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17</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2879"/>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18</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προβλεπόμενων από την οικεία κλαδική Σ.Σ.Ε, στην οποία τυχόν υπάγονται οι εργαζόμενοι, την τήρηση του νόμιμου ωραρίου, των όρων υγιεινής και ασφάλειας </w:t>
            </w:r>
            <w:proofErr w:type="spellStart"/>
            <w:r w:rsidRPr="0044731C">
              <w:rPr>
                <w:rFonts w:eastAsia="Calibri" w:cs="Times New Roman"/>
                <w:color w:val="000000"/>
                <w:szCs w:val="22"/>
                <w:lang w:val="el-GR" w:eastAsia="en-GB"/>
              </w:rPr>
              <w:t>κ.λ.π</w:t>
            </w:r>
            <w:proofErr w:type="spellEnd"/>
            <w:r w:rsidRPr="0044731C">
              <w:rPr>
                <w:rFonts w:eastAsia="Calibri" w:cs="Times New Roman"/>
                <w:color w:val="000000"/>
                <w:szCs w:val="22"/>
                <w:lang w:val="el-GR" w:eastAsia="en-GB"/>
              </w:rPr>
              <w:t>. Παράβαση της υποχρέωσης αυτής δίνει το δικαίωμα στην Αναθέτουσα Αρχή  για μονομερή καταγγελία της σύμβασης και κήρυξη του Αναδόχου ως εκπτώτου.</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2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19</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προσωπικό που θα χρησιμοποιεί ο Ανάδοχος για την εκτέλεση της Σύμβασης πρέπει να είναι υγιές, γεγονός που αποδεικνύεται με την προσκόμιση βιβλιαρίου υγείας εν ισχύ, θεωρημένου από τις αρμόδιες αρχές.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8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20</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πρόκλησης της οποιασδήποτε βλάβης, φθοράς ή ζημίας στους χώρους, τα έπιπλα ή στον εξοπλισμό των εγκαταστάσεων του Ε.Ι.Π από το προσωπικό του Αναδόχου, αυτός υποχρεούται, με δική του δαπάνη, να αποκαταστήσει άμεσα τη βλάβη/ζημία και ο εξοπλισμός να παραδοθεί στην ίδια κατάσταση που βρισκόταν πριν την πρόκληση της ζημίας.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3063"/>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21</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κατά την υπογραφή της Σύμβασης να προσκομίσει κατάσταση του προσωπικού που θα αναλάβει για λογαριασμό του την εκτέλεση της Σύμβασης και να πληροφορεί εγγράφως τον αρμόδιο υπάλληλο της Αναθέτουσας Αρχής για κάθε αλλαγή του προσωπικού. Η κατάσταση θα είναι θεωρημένη από την Επιθεώρηση Εργασίας και είναι υποχρεωμένος να προσκομίσει κατάσταση μισθοδοσίας για το συγκεκριμένο προσωπικό και αναλυτική περιοδική δήλωση που υποβάλλει στον ΕΦΚΑ (ΙΚΑ-ΕΤΑΜ). Το προσωπικό είναι </w:t>
            </w:r>
            <w:r w:rsidRPr="0044731C">
              <w:rPr>
                <w:rFonts w:eastAsia="Calibri" w:cs="Times New Roman"/>
                <w:color w:val="000000"/>
                <w:szCs w:val="22"/>
                <w:lang w:val="el-GR" w:eastAsia="en-GB"/>
              </w:rPr>
              <w:lastRenderedPageBreak/>
              <w:t>υποχρεωμένο να δέχεται αδιαμαρτύρητα οποιονδήποτε έλεγχο τυχόν αποσκευών του κατά  την έξοδο από την έδρα της Αναθέτουσας Αρχής.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lastRenderedPageBreak/>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r w:rsidR="00614598" w:rsidRPr="00F115A1" w:rsidTr="004F05FD">
        <w:trPr>
          <w:trHeight w:val="1200"/>
        </w:trPr>
        <w:tc>
          <w:tcPr>
            <w:tcW w:w="271" w:type="pct"/>
            <w:shd w:val="clear" w:color="auto" w:fill="auto"/>
            <w:noWrap/>
            <w:vAlign w:val="center"/>
            <w:hideMark/>
          </w:tcPr>
          <w:p w:rsidR="00614598" w:rsidRPr="0044731C" w:rsidRDefault="00614598" w:rsidP="004F05FD">
            <w:pPr>
              <w:suppressAutoHyphens w:val="0"/>
              <w:spacing w:after="0"/>
              <w:jc w:val="center"/>
              <w:rPr>
                <w:rFonts w:cs="Times New Roman"/>
                <w:color w:val="000000"/>
                <w:szCs w:val="22"/>
                <w:lang w:eastAsia="en-GB"/>
              </w:rPr>
            </w:pPr>
            <w:r w:rsidRPr="0044731C">
              <w:rPr>
                <w:rFonts w:cs="Times New Roman"/>
                <w:color w:val="000000"/>
                <w:szCs w:val="22"/>
                <w:lang w:eastAsia="en-GB"/>
              </w:rPr>
              <w:t>22</w:t>
            </w:r>
          </w:p>
        </w:tc>
        <w:tc>
          <w:tcPr>
            <w:tcW w:w="2778" w:type="pct"/>
            <w:shd w:val="clear" w:color="auto" w:fill="auto"/>
            <w:noWrap/>
            <w:vAlign w:val="center"/>
            <w:hideMark/>
          </w:tcPr>
          <w:p w:rsidR="00614598" w:rsidRPr="0044731C" w:rsidRDefault="00614598" w:rsidP="004F05F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κηρυχθεί έκπτωτος για παράβαση οποιασδήποτε εκ των ανωτέρω υποχρεώσεών του υποχρεούται σε αποκατάσταση κάθε ζημίας που τυχόν προκλήθηκε στο Ε.Ι.Π. εξαιτίας της παράβασης.</w:t>
            </w:r>
          </w:p>
        </w:tc>
        <w:tc>
          <w:tcPr>
            <w:tcW w:w="602" w:type="pct"/>
            <w:shd w:val="clear" w:color="auto" w:fill="auto"/>
            <w:noWrap/>
            <w:vAlign w:val="bottom"/>
            <w:hideMark/>
          </w:tcPr>
          <w:p w:rsidR="00614598" w:rsidRPr="0044731C" w:rsidRDefault="00614598" w:rsidP="004F05F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04" w:type="pct"/>
          </w:tcPr>
          <w:p w:rsidR="00614598" w:rsidRPr="00614598" w:rsidRDefault="00614598" w:rsidP="004F05FD">
            <w:pPr>
              <w:suppressAutoHyphens w:val="0"/>
              <w:spacing w:after="0"/>
              <w:jc w:val="left"/>
              <w:rPr>
                <w:rFonts w:cs="Times New Roman"/>
                <w:color w:val="000000"/>
                <w:szCs w:val="22"/>
                <w:lang w:val="el-GR" w:eastAsia="en-GB"/>
              </w:rPr>
            </w:pPr>
          </w:p>
        </w:tc>
        <w:tc>
          <w:tcPr>
            <w:tcW w:w="845" w:type="pct"/>
          </w:tcPr>
          <w:p w:rsidR="00614598" w:rsidRPr="00614598" w:rsidRDefault="00614598" w:rsidP="004F05FD">
            <w:pPr>
              <w:suppressAutoHyphens w:val="0"/>
              <w:spacing w:after="0"/>
              <w:jc w:val="left"/>
              <w:rPr>
                <w:rFonts w:cs="Times New Roman"/>
                <w:color w:val="000000"/>
                <w:szCs w:val="22"/>
                <w:lang w:val="el-GR" w:eastAsia="en-GB"/>
              </w:rPr>
            </w:pPr>
          </w:p>
        </w:tc>
      </w:tr>
    </w:tbl>
    <w:p w:rsidR="00614598" w:rsidRPr="00614598" w:rsidRDefault="00614598">
      <w:pPr>
        <w:rPr>
          <w:lang w:val="el-GR"/>
        </w:rPr>
      </w:pPr>
      <w:bookmarkStart w:id="0" w:name="_GoBack"/>
      <w:bookmarkEnd w:id="0"/>
    </w:p>
    <w:sectPr w:rsidR="00614598" w:rsidRPr="00614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98"/>
    <w:rsid w:val="00614598"/>
    <w:rsid w:val="00AF26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637C"/>
  <w15:chartTrackingRefBased/>
  <w15:docId w15:val="{78C2429A-9D71-4617-BABC-194495D8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59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6721</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2024-01-10T07:03:00Z</dcterms:created>
  <dcterms:modified xsi:type="dcterms:W3CDTF">2024-01-10T07:04:00Z</dcterms:modified>
</cp:coreProperties>
</file>