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23" w:rsidRPr="008169BF" w:rsidRDefault="00603323" w:rsidP="00603323">
      <w:pPr>
        <w:pStyle w:val="Heading2"/>
        <w:tabs>
          <w:tab w:val="clear" w:pos="567"/>
          <w:tab w:val="left" w:pos="0"/>
        </w:tabs>
        <w:spacing w:before="0" w:after="120"/>
        <w:ind w:left="0" w:firstLine="0"/>
        <w:rPr>
          <w:rFonts w:ascii="Calibri" w:hAnsi="Calibri"/>
          <w:szCs w:val="24"/>
          <w:lang w:val="el-GR"/>
        </w:rPr>
      </w:pPr>
      <w:bookmarkStart w:id="0" w:name="_Toc120889030"/>
      <w:bookmarkStart w:id="1" w:name="_GoBack"/>
      <w:bookmarkEnd w:id="1"/>
      <w:r w:rsidRPr="008169BF">
        <w:rPr>
          <w:rFonts w:ascii="Calibri" w:hAnsi="Calibri"/>
          <w:szCs w:val="24"/>
          <w:lang w:val="el-GR"/>
        </w:rPr>
        <w:t xml:space="preserve"> ΠΙΝΑΚΕΣ ΣΥΜΜΟΡΦΩΣΗΣ</w:t>
      </w:r>
      <w:bookmarkEnd w:id="0"/>
    </w:p>
    <w:p w:rsidR="00603323" w:rsidRDefault="00603323" w:rsidP="00603323">
      <w:pPr>
        <w:pStyle w:val="normalwithoutspacing"/>
        <w:spacing w:after="120"/>
        <w:rPr>
          <w:b/>
          <w:bCs/>
          <w:color w:val="000000"/>
          <w:sz w:val="24"/>
        </w:rPr>
      </w:pPr>
    </w:p>
    <w:p w:rsidR="00603323" w:rsidRPr="00E94B94" w:rsidRDefault="00603323" w:rsidP="00603323">
      <w:pPr>
        <w:pStyle w:val="normalwithoutspacing"/>
        <w:spacing w:after="120"/>
        <w:rPr>
          <w:b/>
          <w:color w:val="000000"/>
          <w:sz w:val="24"/>
        </w:rPr>
      </w:pPr>
      <w:r w:rsidRPr="00E94B94">
        <w:rPr>
          <w:b/>
          <w:bCs/>
          <w:color w:val="000000"/>
          <w:sz w:val="24"/>
        </w:rPr>
        <w:t xml:space="preserve">Οι </w:t>
      </w:r>
      <w:r w:rsidRPr="00D54FF6">
        <w:rPr>
          <w:b/>
          <w:bCs/>
          <w:color w:val="000000"/>
          <w:sz w:val="24"/>
          <w:u w:val="single"/>
        </w:rPr>
        <w:t>Πίνακες Συμμόρφωσης</w:t>
      </w:r>
      <w:r w:rsidRPr="00E94B94">
        <w:rPr>
          <w:b/>
          <w:bCs/>
          <w:color w:val="000000"/>
          <w:sz w:val="24"/>
        </w:rPr>
        <w:t xml:space="preserve"> όπως παρατίθενται κάτωθι, αφού συμπληρωθούν πλήρως, θα πρέπει</w:t>
      </w:r>
      <w:r>
        <w:rPr>
          <w:b/>
          <w:bCs/>
          <w:color w:val="000000"/>
          <w:sz w:val="24"/>
        </w:rPr>
        <w:t xml:space="preserve"> </w:t>
      </w:r>
      <w:r w:rsidRPr="00E94B94">
        <w:rPr>
          <w:b/>
          <w:bCs/>
          <w:color w:val="000000"/>
          <w:sz w:val="24"/>
        </w:rPr>
        <w:t>να</w:t>
      </w:r>
      <w:r>
        <w:rPr>
          <w:b/>
          <w:bCs/>
          <w:color w:val="000000"/>
          <w:sz w:val="24"/>
        </w:rPr>
        <w:t xml:space="preserve"> </w:t>
      </w:r>
      <w:r w:rsidRPr="00E94B94">
        <w:rPr>
          <w:b/>
          <w:bCs/>
          <w:color w:val="000000"/>
          <w:sz w:val="24"/>
        </w:rPr>
        <w:t xml:space="preserve">υποβληθούν με την Τεχνική προσφορά του οικονομικού φορέα όπως απαιτείται βάσει της </w:t>
      </w:r>
      <w:r w:rsidRPr="00B21764">
        <w:rPr>
          <w:b/>
          <w:bCs/>
          <w:color w:val="000000"/>
          <w:sz w:val="24"/>
        </w:rPr>
        <w:t>παραγράφου 2.4.3.2 της διακήρυξης.</w:t>
      </w:r>
    </w:p>
    <w:p w:rsidR="00603323" w:rsidRPr="001F15CF" w:rsidRDefault="00603323" w:rsidP="00603323">
      <w:pPr>
        <w:suppressAutoHyphens w:val="0"/>
        <w:autoSpaceDE w:val="0"/>
        <w:rPr>
          <w:rFonts w:eastAsia="SimSun"/>
          <w:sz w:val="24"/>
          <w:lang w:val="el-G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992"/>
        <w:gridCol w:w="992"/>
        <w:gridCol w:w="1985"/>
      </w:tblGrid>
      <w:tr w:rsidR="00603323" w:rsidRPr="009E0ECE" w:rsidTr="00A3387E"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ΑΠΑΙΤΗΣΗ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603323" w:rsidRPr="009E0ECE" w:rsidTr="00A3387E">
        <w:tc>
          <w:tcPr>
            <w:tcW w:w="675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ΤΕΧΝΙΚΕΣ ΠΡΟΔΙΑΓΡΑΦΕΣ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ΝΑΙ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ΟΧΙ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ΠΑΡΑΠΟΜΠΗ</w:t>
            </w:r>
          </w:p>
        </w:tc>
      </w:tr>
      <w:tr w:rsidR="00603323" w:rsidRPr="009E0ECE" w:rsidTr="00A3387E">
        <w:trPr>
          <w:trHeight w:val="3674"/>
        </w:trPr>
        <w:tc>
          <w:tcPr>
            <w:tcW w:w="675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03323" w:rsidRPr="009E0ECE" w:rsidRDefault="00603323" w:rsidP="00A3387E">
            <w:pPr>
              <w:pStyle w:val="NoSpacing"/>
              <w:rPr>
                <w:b/>
                <w:szCs w:val="22"/>
                <w:u w:val="single"/>
                <w:lang w:val="el-GR"/>
              </w:rPr>
            </w:pPr>
            <w:r>
              <w:rPr>
                <w:b/>
                <w:szCs w:val="22"/>
                <w:u w:val="single"/>
                <w:lang w:val="el-GR"/>
              </w:rPr>
              <w:t>Πόσιμο Εμβόλιο έναντι χολέρας</w:t>
            </w:r>
          </w:p>
          <w:p w:rsidR="00603323" w:rsidRDefault="00603323" w:rsidP="00A3387E">
            <w:pPr>
              <w:pStyle w:val="NoSpacing"/>
              <w:rPr>
                <w:highlight w:val="yellow"/>
                <w:lang w:val="el-GR"/>
              </w:rPr>
            </w:pPr>
          </w:p>
          <w:p w:rsidR="00603323" w:rsidRPr="00730E4B" w:rsidRDefault="00603323" w:rsidP="00A3387E">
            <w:pPr>
              <w:pStyle w:val="NoSpacing"/>
              <w:rPr>
                <w:lang w:val="el-GR"/>
              </w:rPr>
            </w:pPr>
            <w:r w:rsidRPr="00730E4B">
              <w:rPr>
                <w:lang w:val="el-GR"/>
              </w:rPr>
              <w:t xml:space="preserve">Το προσφερόμενο πόσιμο σκεύασμα για ανθρώπινη χρήση πρέπει να εμπεριέχει αδρανοποιημένα ή </w:t>
            </w:r>
            <w:proofErr w:type="spellStart"/>
            <w:r w:rsidRPr="00730E4B">
              <w:rPr>
                <w:lang w:val="el-GR"/>
              </w:rPr>
              <w:t>ανασυνδυασμένα</w:t>
            </w:r>
            <w:proofErr w:type="spellEnd"/>
            <w:r w:rsidRPr="00730E4B">
              <w:rPr>
                <w:lang w:val="el-GR"/>
              </w:rPr>
              <w:t xml:space="preserve"> ζωντανά εξασθενημένα βακτήρια στελεχών του Δονακίου της χολέρας (</w:t>
            </w:r>
            <w:r>
              <w:t>V</w:t>
            </w:r>
            <w:r w:rsidRPr="00730E4B">
              <w:rPr>
                <w:lang w:val="el-GR"/>
              </w:rPr>
              <w:t xml:space="preserve">. </w:t>
            </w:r>
            <w:proofErr w:type="spellStart"/>
            <w:r>
              <w:t>cholerae</w:t>
            </w:r>
            <w:proofErr w:type="spellEnd"/>
            <w:r w:rsidRPr="00730E4B">
              <w:rPr>
                <w:lang w:val="el-GR"/>
              </w:rPr>
              <w:t xml:space="preserve"> </w:t>
            </w:r>
            <w:proofErr w:type="spellStart"/>
            <w:r w:rsidRPr="00730E4B">
              <w:rPr>
                <w:lang w:val="el-GR"/>
              </w:rPr>
              <w:t>ορότυπος</w:t>
            </w:r>
            <w:proofErr w:type="spellEnd"/>
            <w:r w:rsidRPr="00730E4B">
              <w:rPr>
                <w:lang w:val="el-GR"/>
              </w:rPr>
              <w:t xml:space="preserve"> </w:t>
            </w:r>
            <w:r>
              <w:t>O</w:t>
            </w:r>
            <w:r w:rsidRPr="00730E4B">
              <w:rPr>
                <w:lang w:val="el-GR"/>
              </w:rPr>
              <w:t>1) και να πληροί τις προδιαγραφές της Ευρωπαϊκής Φαρμακοποιίας (2327) ή του Π.Ο.Υ., όπως αυτές περιγράφονται στην αντίστοιχη έκδοση του Τεχνικού Εγχειρίδιου του Οργανισμού (</w:t>
            </w:r>
            <w:r>
              <w:t>WHO</w:t>
            </w:r>
            <w:r w:rsidRPr="00730E4B">
              <w:rPr>
                <w:lang w:val="el-GR"/>
              </w:rPr>
              <w:t xml:space="preserve"> </w:t>
            </w:r>
            <w:r>
              <w:t>TRS</w:t>
            </w:r>
            <w:r w:rsidRPr="00730E4B">
              <w:rPr>
                <w:lang w:val="el-GR"/>
              </w:rPr>
              <w:t xml:space="preserve"> 924 </w:t>
            </w:r>
            <w:r>
              <w:t>Annex</w:t>
            </w:r>
            <w:r w:rsidRPr="00730E4B">
              <w:rPr>
                <w:lang w:val="el-GR"/>
              </w:rPr>
              <w:t xml:space="preserve"> 3) ή να ικανοποιεί ισοδύναμα με αυτές πρότυπα εφόσον αυτό τεκμηριώνεται εγγράφως.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603323" w:rsidRPr="009E0ECE" w:rsidTr="00A3387E">
        <w:tc>
          <w:tcPr>
            <w:tcW w:w="675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b/>
                <w:szCs w:val="22"/>
              </w:rPr>
            </w:pPr>
            <w:proofErr w:type="spellStart"/>
            <w:r w:rsidRPr="009E0ECE">
              <w:rPr>
                <w:rFonts w:eastAsia="Calibri"/>
                <w:b/>
                <w:szCs w:val="22"/>
              </w:rPr>
              <w:t>Ειδικοί</w:t>
            </w:r>
            <w:proofErr w:type="spellEnd"/>
            <w:r w:rsidRPr="009E0ECE">
              <w:rPr>
                <w:rFonts w:eastAsia="Calibri"/>
                <w:b/>
                <w:szCs w:val="22"/>
              </w:rPr>
              <w:t xml:space="preserve"> </w:t>
            </w:r>
            <w:proofErr w:type="spellStart"/>
            <w:r w:rsidRPr="009E0ECE">
              <w:rPr>
                <w:rFonts w:eastAsia="Calibri"/>
                <w:b/>
                <w:szCs w:val="22"/>
              </w:rPr>
              <w:t>Όροι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ΝΑΙ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ΟΧΙ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ΠΑΡΑΠΟΜΠΗ</w:t>
            </w:r>
          </w:p>
        </w:tc>
      </w:tr>
      <w:tr w:rsidR="00603323" w:rsidRPr="009E0ECE" w:rsidTr="00A3387E">
        <w:tc>
          <w:tcPr>
            <w:tcW w:w="675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03323" w:rsidRPr="009E0ECE" w:rsidRDefault="00603323" w:rsidP="00A3387E">
            <w:pPr>
              <w:pStyle w:val="NoSpacing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>Η προσφορά για κάθε σκεύασμα απαιτείται να περιέχει το πρωτόκολλο των διαδικασιών ελέγχου και αποδέσμευσης των παρτίδων, καθώς και αντίγραφα του συνοδευτικού φυλλαδίου οδηγιών και της περίληψης των χαρακτηριστικών του προϊόντος (</w:t>
            </w:r>
            <w:r w:rsidRPr="009E0ECE">
              <w:rPr>
                <w:color w:val="000000"/>
                <w:szCs w:val="22"/>
              </w:rPr>
              <w:t>SPC</w:t>
            </w:r>
            <w:r w:rsidRPr="009E0ECE">
              <w:rPr>
                <w:color w:val="000000"/>
                <w:szCs w:val="22"/>
                <w:lang w:val="el-GR"/>
              </w:rPr>
              <w:t>) στην αγγλική, ή σε επικυρωμένη μετάφραση στην ελληνική γλώσσα.</w:t>
            </w:r>
          </w:p>
          <w:p w:rsidR="00603323" w:rsidRPr="007B7980" w:rsidRDefault="00603323" w:rsidP="00A3387E">
            <w:pPr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603323" w:rsidRPr="009E0ECE" w:rsidTr="00A3387E">
        <w:tc>
          <w:tcPr>
            <w:tcW w:w="675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03323" w:rsidRPr="009E0ECE" w:rsidRDefault="00603323" w:rsidP="00A3387E">
            <w:pPr>
              <w:pStyle w:val="NoSpacing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 xml:space="preserve"> Τα προσφερόμενα προϊόντα απαιτείται να έχουν άδεια κυκλοφορίας ή να έχουν κυκλοφορήσει στην Ε.Ε. ή σε τουλάχιστον ένα κράτος-μέλος. Για προϊόντα χωρίς υφιστάμενη άδεια κυκλοφορίας στην Ε.Ε. ή που δεν έχουν κυκλοφορήσει σε κάποιο κράτος-μέλος της Ε.Ε. απαιτείται προηγούμενη έγκριση έκτακτης εισαγωγής από τον Εθνικό Οργανισμό Φαρμάκων (Ε.Ο.Φ.).</w:t>
            </w:r>
          </w:p>
          <w:p w:rsidR="00603323" w:rsidRPr="009E0ECE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603323" w:rsidRPr="009E0ECE" w:rsidTr="00A3387E">
        <w:trPr>
          <w:trHeight w:val="193"/>
        </w:trPr>
        <w:tc>
          <w:tcPr>
            <w:tcW w:w="675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03323" w:rsidRPr="009E0ECE" w:rsidRDefault="00603323" w:rsidP="00A3387E">
            <w:pPr>
              <w:pStyle w:val="NoSpacing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>Τα προσφερόμενα προϊόντα απαιτείται να συνοδεύονται από πιστοποιητικό που να βεβαιώνει ότι η παραγωγή/παρασκευή τους διενεργείται σε κατάλληλες εγκαταστάσεις και υπό κατάλληλες συνθήκες σύμφωνα με τους πλέον πρόσφατους Κανόνες Καλής Παραγωγής (</w:t>
            </w:r>
            <w:r w:rsidRPr="009E0ECE">
              <w:rPr>
                <w:color w:val="000000"/>
                <w:szCs w:val="22"/>
              </w:rPr>
              <w:t>cGMP</w:t>
            </w:r>
            <w:r w:rsidRPr="009E0ECE">
              <w:rPr>
                <w:color w:val="000000"/>
                <w:szCs w:val="22"/>
                <w:lang w:val="el-GR"/>
              </w:rPr>
              <w:t>).</w:t>
            </w:r>
          </w:p>
          <w:p w:rsidR="00603323" w:rsidRPr="009E0ECE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603323" w:rsidRPr="009E0ECE" w:rsidTr="00A3387E">
        <w:trPr>
          <w:trHeight w:val="873"/>
        </w:trPr>
        <w:tc>
          <w:tcPr>
            <w:tcW w:w="675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lastRenderedPageBreak/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left"/>
              <w:rPr>
                <w:rFonts w:eastAsia="Calibri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>Τα προσφερόμενα προϊόντα απαιτείται να φέρουν ταινία γνησιότητας</w:t>
            </w:r>
            <w:r w:rsidRPr="009E0ECE">
              <w:rPr>
                <w:rFonts w:eastAsia="Calibri"/>
                <w:szCs w:val="22"/>
                <w:lang w:val="el-GR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603323" w:rsidRPr="009E0ECE" w:rsidTr="00A3387E">
        <w:trPr>
          <w:trHeight w:val="1409"/>
        </w:trPr>
        <w:tc>
          <w:tcPr>
            <w:tcW w:w="675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03323" w:rsidRPr="009E0ECE" w:rsidRDefault="00603323" w:rsidP="00A3387E">
            <w:pPr>
              <w:pStyle w:val="NoSpacing"/>
              <w:rPr>
                <w:rFonts w:eastAsia="Calibri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>Η ημερομ</w:t>
            </w:r>
            <w:r>
              <w:rPr>
                <w:color w:val="000000"/>
                <w:szCs w:val="22"/>
                <w:lang w:val="el-GR"/>
              </w:rPr>
              <w:t xml:space="preserve">ηνία λήξης του πόσιμου εμβολίου έναντι της χολέρας </w:t>
            </w:r>
            <w:r w:rsidRPr="009E0ECE">
              <w:rPr>
                <w:color w:val="000000"/>
                <w:szCs w:val="22"/>
                <w:lang w:val="el-GR"/>
              </w:rPr>
              <w:t>κατά την παράδοσή του στις εγκαταστάσεις της Αναθέτουσας Αρχής δεν θα πρέπε</w:t>
            </w:r>
            <w:r>
              <w:rPr>
                <w:color w:val="000000"/>
                <w:szCs w:val="22"/>
                <w:lang w:val="el-GR"/>
              </w:rPr>
              <w:t xml:space="preserve">ι να απέχει λιγότερο από δεκαέξι </w:t>
            </w:r>
            <w:r w:rsidRPr="009E0ECE">
              <w:rPr>
                <w:color w:val="000000"/>
                <w:szCs w:val="22"/>
                <w:lang w:val="el-GR"/>
              </w:rPr>
              <w:t>(1</w:t>
            </w:r>
            <w:r>
              <w:rPr>
                <w:color w:val="000000"/>
                <w:szCs w:val="22"/>
                <w:lang w:val="el-GR"/>
              </w:rPr>
              <w:t>6</w:t>
            </w:r>
            <w:r w:rsidRPr="009E0ECE">
              <w:rPr>
                <w:color w:val="000000"/>
                <w:szCs w:val="22"/>
                <w:lang w:val="el-GR"/>
              </w:rPr>
              <w:t>)</w:t>
            </w:r>
            <w:r>
              <w:rPr>
                <w:color w:val="000000"/>
                <w:szCs w:val="22"/>
                <w:lang w:val="el-GR"/>
              </w:rPr>
              <w:t xml:space="preserve"> </w:t>
            </w:r>
            <w:r w:rsidRPr="009E0ECE">
              <w:rPr>
                <w:color w:val="000000"/>
                <w:szCs w:val="22"/>
                <w:lang w:val="el-GR"/>
              </w:rPr>
              <w:t>μήνες από την ημερομηνία παράδοσης.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603323" w:rsidRPr="009E0ECE" w:rsidTr="00A3387E">
        <w:trPr>
          <w:trHeight w:val="3805"/>
        </w:trPr>
        <w:tc>
          <w:tcPr>
            <w:tcW w:w="675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03323" w:rsidRPr="00B35A98" w:rsidRDefault="00603323" w:rsidP="00A3387E">
            <w:pPr>
              <w:pStyle w:val="NoSpacing"/>
              <w:rPr>
                <w:color w:val="000000"/>
                <w:lang w:val="el-GR"/>
              </w:rPr>
            </w:pPr>
            <w:r w:rsidRPr="00B35A98">
              <w:rPr>
                <w:color w:val="000000"/>
                <w:lang w:val="el-GR"/>
              </w:rPr>
              <w:t>Η εξωτερική συσκευασία των προϊόντων που απαιτούν ελεγχόμενη θερμοκρασία αποθήκευσης, θα πρέπει να φέρει δείκτες θερμοκρασίας, ώστε να μπορεί να πιστοποιείται ότι η κατάσταση και θερμοκρασία αποθήκευσης για τα προϊόντα αυτά έχει διατηρηθεί στις απαιτούμενες τιμές καθ’ όλη τη διάρκεια της αποστολής και παράδοσης των προϊόντων στην Αναθέτουσα Αρχή. Η Αναθέτουσα Αρχή διατηρεί το δικαίωμα να αρνηθεί την παραλαβή προϊόντων που δεν πληρούν την απαίτηση αυτή ή προϊόντων που τεκμηριωμένα εκτέθηκαν σε θερμοκρασίες εκτός προδιαγραφών.</w:t>
            </w:r>
          </w:p>
          <w:p w:rsidR="00603323" w:rsidRPr="009E0ECE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603323" w:rsidRPr="009E0ECE" w:rsidTr="00A3387E">
        <w:trPr>
          <w:trHeight w:val="86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b/>
                <w:szCs w:val="22"/>
                <w:lang w:val="en-US"/>
              </w:rPr>
            </w:pPr>
            <w:r w:rsidRPr="009E0ECE">
              <w:rPr>
                <w:rFonts w:eastAsia="Calibri"/>
                <w:b/>
                <w:szCs w:val="22"/>
                <w:lang w:val="en-US"/>
              </w:rPr>
              <w:t>7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323" w:rsidRPr="009E0ECE" w:rsidRDefault="00603323" w:rsidP="00A3387E">
            <w:pPr>
              <w:pStyle w:val="NoSpacing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 xml:space="preserve">Απαιτείται να δηλώνεται η χώρα προέλευσης , το όνομα ή η εμπορική επωνυμία και διεύθυνση της παραγωγού εταιρείας </w:t>
            </w:r>
          </w:p>
          <w:p w:rsidR="00603323" w:rsidRPr="009E0ECE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323" w:rsidRPr="009E0ECE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</w:tbl>
    <w:p w:rsidR="00603323" w:rsidRPr="001F15CF" w:rsidRDefault="00603323" w:rsidP="00603323">
      <w:pPr>
        <w:pStyle w:val="normalwithoutspacing"/>
        <w:spacing w:after="120"/>
        <w:rPr>
          <w:rFonts w:eastAsia="SimSun"/>
          <w:i/>
          <w:iCs/>
          <w:color w:val="5B9BD5"/>
          <w:sz w:val="24"/>
        </w:rPr>
      </w:pPr>
    </w:p>
    <w:p w:rsidR="00603323" w:rsidRDefault="00603323" w:rsidP="00603323">
      <w:pPr>
        <w:pStyle w:val="normalwithoutspacing"/>
        <w:spacing w:after="120"/>
        <w:rPr>
          <w:rFonts w:eastAsia="SimSun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850"/>
        <w:gridCol w:w="992"/>
        <w:gridCol w:w="1701"/>
      </w:tblGrid>
      <w:tr w:rsidR="00603323" w:rsidRPr="00035461" w:rsidTr="00A3387E"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ΑΠΑΙΤΗΣΗ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</w:tr>
      <w:tr w:rsidR="00603323" w:rsidRPr="00035461" w:rsidTr="00A3387E">
        <w:tc>
          <w:tcPr>
            <w:tcW w:w="675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ΤΕΧΝΙΚΕΣ ΠΡΟΔΙΑΓΡΑΦΕΣ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ΝΑΙ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ΟΧΙ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ΠΑΡΑΠΟΜΠΗ</w:t>
            </w:r>
          </w:p>
        </w:tc>
      </w:tr>
      <w:tr w:rsidR="00603323" w:rsidRPr="00035461" w:rsidTr="00A3387E">
        <w:trPr>
          <w:trHeight w:val="4810"/>
        </w:trPr>
        <w:tc>
          <w:tcPr>
            <w:tcW w:w="675" w:type="dxa"/>
            <w:shd w:val="clear" w:color="auto" w:fill="auto"/>
            <w:vAlign w:val="center"/>
          </w:tcPr>
          <w:p w:rsidR="00603323" w:rsidRPr="00AE783C" w:rsidRDefault="00603323" w:rsidP="00A3387E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>
              <w:rPr>
                <w:rFonts w:eastAsia="Calibri"/>
                <w:b/>
                <w:szCs w:val="22"/>
                <w:lang w:val="el-GR"/>
              </w:rPr>
              <w:lastRenderedPageBreak/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03323" w:rsidRPr="00AE783C" w:rsidRDefault="00603323" w:rsidP="00A3387E">
            <w:pPr>
              <w:pStyle w:val="NoSpacing"/>
              <w:rPr>
                <w:b/>
                <w:szCs w:val="22"/>
                <w:u w:val="single"/>
                <w:lang w:val="el-GR"/>
              </w:rPr>
            </w:pPr>
            <w:r w:rsidRPr="00AE783C">
              <w:rPr>
                <w:b/>
                <w:szCs w:val="22"/>
                <w:u w:val="single"/>
                <w:lang w:val="el-GR"/>
              </w:rPr>
              <w:t xml:space="preserve">Εμβόλιο </w:t>
            </w:r>
            <w:r w:rsidRPr="00035461">
              <w:rPr>
                <w:b/>
                <w:szCs w:val="22"/>
                <w:u w:val="single"/>
                <w:lang w:val="el-GR"/>
              </w:rPr>
              <w:t>BCG</w:t>
            </w:r>
          </w:p>
          <w:p w:rsidR="00603323" w:rsidRPr="002D456D" w:rsidRDefault="00603323" w:rsidP="00A3387E">
            <w:pPr>
              <w:pStyle w:val="NoSpacing"/>
              <w:rPr>
                <w:szCs w:val="22"/>
                <w:lang w:val="el-GR"/>
              </w:rPr>
            </w:pPr>
          </w:p>
          <w:p w:rsidR="00603323" w:rsidRPr="00AE783C" w:rsidRDefault="00603323" w:rsidP="00A3387E">
            <w:pPr>
              <w:pStyle w:val="NoSpacing"/>
              <w:rPr>
                <w:lang w:val="el-GR"/>
              </w:rPr>
            </w:pPr>
            <w:r w:rsidRPr="002D456D">
              <w:rPr>
                <w:lang w:val="el-GR"/>
              </w:rPr>
              <w:t xml:space="preserve">Το αντιφυματικό εμβόλιο </w:t>
            </w:r>
            <w:r w:rsidRPr="00035461">
              <w:rPr>
                <w:lang w:val="el-GR"/>
              </w:rPr>
              <w:t>BCG</w:t>
            </w:r>
            <w:r w:rsidRPr="00AE783C">
              <w:rPr>
                <w:lang w:val="el-GR"/>
              </w:rPr>
              <w:t xml:space="preserve"> για ανθρώπινη χρήση πρέπει να είναι σε </w:t>
            </w:r>
            <w:proofErr w:type="spellStart"/>
            <w:r w:rsidRPr="00AE783C">
              <w:rPr>
                <w:lang w:val="el-GR"/>
              </w:rPr>
              <w:t>λυοφιλ</w:t>
            </w:r>
            <w:r w:rsidRPr="00035461">
              <w:rPr>
                <w:lang w:val="el-GR"/>
              </w:rPr>
              <w:t>o</w:t>
            </w:r>
            <w:r w:rsidRPr="00AE783C">
              <w:rPr>
                <w:lang w:val="el-GR"/>
              </w:rPr>
              <w:t>ποιημένη</w:t>
            </w:r>
            <w:proofErr w:type="spellEnd"/>
            <w:r w:rsidRPr="00AE783C">
              <w:rPr>
                <w:lang w:val="el-GR"/>
              </w:rPr>
              <w:t xml:space="preserve"> μορφή και η συσκευασία να αντιστοιχεί σε ποσότητα πολλαπλών δόσεων (φιαλίδιο που περιέχει το </w:t>
            </w:r>
            <w:proofErr w:type="spellStart"/>
            <w:r w:rsidRPr="00AE783C">
              <w:rPr>
                <w:lang w:val="el-GR"/>
              </w:rPr>
              <w:t>λυοφιλοποιημένο</w:t>
            </w:r>
            <w:proofErr w:type="spellEnd"/>
            <w:r w:rsidRPr="00AE783C">
              <w:rPr>
                <w:lang w:val="el-GR"/>
              </w:rPr>
              <w:t xml:space="preserve"> εμβόλιο με επιπλέον φιαλίδιο ή αμπούλα που περιέχει διαλύτη για την ανασύσταση).</w:t>
            </w:r>
          </w:p>
          <w:p w:rsidR="00603323" w:rsidRPr="00AE783C" w:rsidRDefault="00603323" w:rsidP="00A3387E">
            <w:pPr>
              <w:pStyle w:val="NoSpacing"/>
              <w:rPr>
                <w:lang w:val="el-GR"/>
              </w:rPr>
            </w:pPr>
            <w:r w:rsidRPr="002D456D">
              <w:rPr>
                <w:lang w:val="el-GR"/>
              </w:rPr>
              <w:t xml:space="preserve">Το προϊόν πρέπει να πληροί τις απαιτήσεις του Π.Ο.Υ. σχετικά με τη διασφάλιση ποιότητας, ασφάλειας και αποτελεσματικότητας εμβολίων </w:t>
            </w:r>
            <w:r w:rsidRPr="00035461">
              <w:rPr>
                <w:lang w:val="el-GR"/>
              </w:rPr>
              <w:t>BCG</w:t>
            </w:r>
            <w:r w:rsidRPr="00AE783C">
              <w:rPr>
                <w:lang w:val="el-GR"/>
              </w:rPr>
              <w:t xml:space="preserve"> (</w:t>
            </w:r>
            <w:r w:rsidRPr="00035461">
              <w:rPr>
                <w:lang w:val="el-GR"/>
              </w:rPr>
              <w:t>WHO</w:t>
            </w:r>
            <w:r w:rsidRPr="00AE783C">
              <w:rPr>
                <w:lang w:val="el-GR"/>
              </w:rPr>
              <w:t xml:space="preserve"> </w:t>
            </w:r>
            <w:r w:rsidRPr="00035461">
              <w:rPr>
                <w:lang w:val="el-GR"/>
              </w:rPr>
              <w:t>TRS</w:t>
            </w:r>
            <w:r w:rsidRPr="00AE783C">
              <w:rPr>
                <w:lang w:val="el-GR"/>
              </w:rPr>
              <w:t xml:space="preserve"> 979 </w:t>
            </w:r>
            <w:proofErr w:type="spellStart"/>
            <w:r w:rsidRPr="00035461">
              <w:rPr>
                <w:lang w:val="el-GR"/>
              </w:rPr>
              <w:t>Annex</w:t>
            </w:r>
            <w:proofErr w:type="spellEnd"/>
            <w:r w:rsidRPr="00AE783C">
              <w:rPr>
                <w:lang w:val="el-GR"/>
              </w:rPr>
              <w:t xml:space="preserve"> 3) ή τις προδιαγραφές της Ευρωπαϊκής Φαρμακοποιίας (0163) ή να ικανοποιεί ισοδύναμα με αυτές πρότυπα εφόσον αυτό τεκμηριώνεται εγγράφως.</w:t>
            </w:r>
          </w:p>
          <w:p w:rsidR="00603323" w:rsidRPr="002D456D" w:rsidRDefault="00603323" w:rsidP="00A3387E">
            <w:pPr>
              <w:pStyle w:val="NoSpacing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603323" w:rsidRPr="00035461" w:rsidTr="00A3387E">
        <w:tc>
          <w:tcPr>
            <w:tcW w:w="675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Ειδικοί Όροι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ΝΑΙ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ΟΧΙ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ΠΑΡΑΠΟΜΠΗ</w:t>
            </w:r>
          </w:p>
        </w:tc>
      </w:tr>
      <w:tr w:rsidR="00603323" w:rsidRPr="00035461" w:rsidTr="00A3387E">
        <w:tc>
          <w:tcPr>
            <w:tcW w:w="675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03323" w:rsidRPr="00AE783C" w:rsidRDefault="00603323" w:rsidP="00A3387E">
            <w:pPr>
              <w:pStyle w:val="NoSpacing"/>
              <w:rPr>
                <w:color w:val="000000"/>
                <w:lang w:val="el-GR"/>
              </w:rPr>
            </w:pPr>
            <w:r w:rsidRPr="00AE783C">
              <w:rPr>
                <w:color w:val="000000"/>
                <w:lang w:val="el-GR"/>
              </w:rPr>
              <w:t>Η προσφορά για κάθε σκεύασμα απαιτείται να περιέχει το πρωτόκολλο των διαδικασιών ελέγχου και αποδέσμευσης των παρτίδων, καθώς και αντίγραφα του συνοδευτικού φυλλαδίου οδηγιών και της περίληψης των χαρακτηριστικών του προϊόντος (</w:t>
            </w:r>
            <w:r w:rsidRPr="00035461">
              <w:rPr>
                <w:color w:val="000000"/>
                <w:lang w:val="el-GR"/>
              </w:rPr>
              <w:t>SPC</w:t>
            </w:r>
            <w:r w:rsidRPr="00AE783C">
              <w:rPr>
                <w:color w:val="000000"/>
                <w:lang w:val="el-GR"/>
              </w:rPr>
              <w:t>) στην αγγλική, ή σε επικυρωμένη μετάφραση στην ελληνική γλώσσα.</w:t>
            </w:r>
          </w:p>
          <w:p w:rsidR="00603323" w:rsidRPr="002D456D" w:rsidRDefault="00603323" w:rsidP="00A3387E">
            <w:pPr>
              <w:pStyle w:val="NoSpacing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603323" w:rsidRPr="00035461" w:rsidTr="00A3387E">
        <w:tc>
          <w:tcPr>
            <w:tcW w:w="675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03323" w:rsidRPr="002D456D" w:rsidRDefault="00603323" w:rsidP="00A3387E">
            <w:pPr>
              <w:pStyle w:val="NoSpacing"/>
              <w:rPr>
                <w:color w:val="000000"/>
                <w:lang w:val="el-GR"/>
              </w:rPr>
            </w:pPr>
            <w:r w:rsidRPr="00AE783C">
              <w:rPr>
                <w:color w:val="000000"/>
                <w:lang w:val="el-GR"/>
              </w:rPr>
              <w:t>Τα προσφερόμενα προϊόντα απαιτείται να έχουν άδεια κυκλοφορίας ή να έχουν κυκλοφορήσει στην Ε.Ε. ή σε τουλάχιστον ένα κράτος-μέλος. Για προϊόντα χωρίς υφιστάμενη άδεια κυκλοφορίας στην Ε.Ε. ή που δεν έχουν κυκλοφορήσει σε κάποιο κράτος-μέλος της Ε.Ε. απαιτείται προηγούμενη έγκριση έκτακτης εισαγωγής από τον Εθνικό Οργανισμό Φαρμάκων (</w:t>
            </w:r>
            <w:r w:rsidRPr="002D456D">
              <w:rPr>
                <w:color w:val="000000"/>
                <w:lang w:val="el-GR"/>
              </w:rPr>
              <w:t>Ε.Ο.Φ.).</w:t>
            </w:r>
          </w:p>
          <w:p w:rsidR="00603323" w:rsidRPr="00035461" w:rsidRDefault="00603323" w:rsidP="00A3387E">
            <w:pPr>
              <w:pStyle w:val="NoSpacing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603323" w:rsidRPr="00035461" w:rsidTr="00A3387E">
        <w:tc>
          <w:tcPr>
            <w:tcW w:w="675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03323" w:rsidRPr="00AE783C" w:rsidRDefault="00603323" w:rsidP="00A3387E">
            <w:pPr>
              <w:pStyle w:val="NoSpacing"/>
              <w:rPr>
                <w:color w:val="000000"/>
                <w:lang w:val="el-GR"/>
              </w:rPr>
            </w:pPr>
            <w:r w:rsidRPr="00AE783C">
              <w:rPr>
                <w:color w:val="000000"/>
                <w:lang w:val="el-GR"/>
              </w:rPr>
              <w:t>Τα προσφερόμενα προϊόντα απαιτείται να συνοδεύονται από πιστοποιητικό που να βεβαιώνει ότι η παραγωγή/παρασκευή τους διενεργείται σε κατάλληλες εγκαταστάσεις και υπό κατάλληλες συνθήκες σύμφωνα με τους πλέον πρόσφατους Κανόνες Καλής Παραγωγής (</w:t>
            </w:r>
            <w:proofErr w:type="spellStart"/>
            <w:r w:rsidRPr="00035461">
              <w:rPr>
                <w:color w:val="000000"/>
                <w:lang w:val="el-GR"/>
              </w:rPr>
              <w:t>cGMP</w:t>
            </w:r>
            <w:proofErr w:type="spellEnd"/>
            <w:r w:rsidRPr="00AE783C">
              <w:rPr>
                <w:color w:val="000000"/>
                <w:lang w:val="el-GR"/>
              </w:rPr>
              <w:t>).</w:t>
            </w:r>
          </w:p>
          <w:p w:rsidR="00603323" w:rsidRPr="002D456D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603323" w:rsidRPr="00035461" w:rsidTr="00A3387E">
        <w:tc>
          <w:tcPr>
            <w:tcW w:w="675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03323" w:rsidRPr="00AE783C" w:rsidRDefault="00603323" w:rsidP="00A3387E">
            <w:pPr>
              <w:jc w:val="left"/>
              <w:rPr>
                <w:rFonts w:eastAsia="Calibri"/>
                <w:szCs w:val="22"/>
                <w:lang w:val="el-GR"/>
              </w:rPr>
            </w:pPr>
            <w:r w:rsidRPr="00AE783C">
              <w:rPr>
                <w:color w:val="000000"/>
                <w:szCs w:val="22"/>
                <w:lang w:val="el-GR"/>
              </w:rPr>
              <w:t>Τα προσφερόμενα προϊόντα απαιτείται να φέρουν ταινία γνησιότητας</w:t>
            </w:r>
            <w:r w:rsidRPr="00AE783C">
              <w:rPr>
                <w:rFonts w:eastAsia="Calibri"/>
                <w:szCs w:val="22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323" w:rsidRPr="002D456D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603323" w:rsidRPr="00035461" w:rsidTr="00A3387E">
        <w:tc>
          <w:tcPr>
            <w:tcW w:w="675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03323" w:rsidRPr="002D456D" w:rsidRDefault="00603323" w:rsidP="00A3387E">
            <w:pPr>
              <w:rPr>
                <w:rFonts w:eastAsia="Calibri"/>
                <w:szCs w:val="22"/>
                <w:lang w:val="el-GR"/>
              </w:rPr>
            </w:pPr>
            <w:r w:rsidRPr="00AE783C">
              <w:rPr>
                <w:color w:val="000000"/>
                <w:lang w:val="el-GR"/>
              </w:rPr>
              <w:t xml:space="preserve">Η ημερομηνία λήξης </w:t>
            </w:r>
            <w:r>
              <w:rPr>
                <w:color w:val="000000"/>
                <w:lang w:val="el-GR"/>
              </w:rPr>
              <w:t xml:space="preserve">του εμβολίου </w:t>
            </w:r>
            <w:r>
              <w:rPr>
                <w:color w:val="000000"/>
              </w:rPr>
              <w:t>BCG</w:t>
            </w:r>
            <w:r w:rsidRPr="00A33C39">
              <w:rPr>
                <w:color w:val="000000"/>
                <w:lang w:val="el-GR"/>
              </w:rPr>
              <w:t xml:space="preserve"> </w:t>
            </w:r>
            <w:r w:rsidRPr="00AE783C">
              <w:rPr>
                <w:color w:val="000000"/>
                <w:lang w:val="el-GR"/>
              </w:rPr>
              <w:t xml:space="preserve">κατά την παράδοσή του στις εγκαταστάσεις της Αναθέτουσας Αρχής δεν θα πρέπει να απέχει λιγότερο από </w:t>
            </w:r>
            <w:r>
              <w:rPr>
                <w:color w:val="000000"/>
                <w:lang w:val="el-GR"/>
              </w:rPr>
              <w:lastRenderedPageBreak/>
              <w:t>δεκατέσσερεις</w:t>
            </w:r>
            <w:r w:rsidRPr="00AE783C">
              <w:rPr>
                <w:color w:val="000000"/>
                <w:lang w:val="el-GR"/>
              </w:rPr>
              <w:t xml:space="preserve"> (1</w:t>
            </w:r>
            <w:r>
              <w:rPr>
                <w:color w:val="000000"/>
                <w:lang w:val="el-GR"/>
              </w:rPr>
              <w:t>4</w:t>
            </w:r>
            <w:r w:rsidRPr="00AE783C">
              <w:rPr>
                <w:color w:val="000000"/>
                <w:lang w:val="el-GR"/>
              </w:rPr>
              <w:t>)</w:t>
            </w:r>
            <w:r>
              <w:rPr>
                <w:color w:val="000000"/>
                <w:lang w:val="el-GR"/>
              </w:rPr>
              <w:t xml:space="preserve"> </w:t>
            </w:r>
            <w:r w:rsidRPr="00AE783C">
              <w:rPr>
                <w:color w:val="000000"/>
                <w:lang w:val="el-GR"/>
              </w:rPr>
              <w:t>μήνες από την ημερομηνία παράδοσης.</w:t>
            </w:r>
            <w:r>
              <w:rPr>
                <w:rFonts w:eastAsia="Calibri"/>
                <w:szCs w:val="22"/>
                <w:lang w:val="el-GR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603323" w:rsidRPr="00035461" w:rsidTr="00A3387E">
        <w:trPr>
          <w:trHeight w:val="3805"/>
        </w:trPr>
        <w:tc>
          <w:tcPr>
            <w:tcW w:w="675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lastRenderedPageBreak/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03323" w:rsidRPr="002D456D" w:rsidRDefault="00603323" w:rsidP="00A3387E">
            <w:pPr>
              <w:pStyle w:val="NoSpacing"/>
              <w:rPr>
                <w:color w:val="000000"/>
                <w:lang w:val="el-GR"/>
              </w:rPr>
            </w:pPr>
            <w:r w:rsidRPr="00AE783C">
              <w:rPr>
                <w:color w:val="000000"/>
                <w:lang w:val="el-GR"/>
              </w:rPr>
              <w:t xml:space="preserve"> Η εξωτερική συσκευασία των προϊόντων που απαιτούν ελεγχόμενη θερμοκρασία αποθήκευσης, θα πρέπει να φέρει δείκτες θερμοκρασίας, ώστε να μπορεί να πιστοποιείται ότι η κατάσταση και θερμοκρασία αποθήκευσης για τα προϊόντα αυτά έχει διατηρηθεί στις απαιτούμενες τιμές καθ’ όλη τη διάρκεια της αποστολής και παράδοσης των προϊόντων στην Αναθέτουσα Αρχή. Η Αναθέτουσα Αρχή διατηρεί το δικαίωμα να αρνηθεί την παραλαβή προϊόντων που δεν πληρούν την απαίτηση αυτή ή προ</w:t>
            </w:r>
            <w:r w:rsidRPr="002D456D">
              <w:rPr>
                <w:color w:val="000000"/>
                <w:lang w:val="el-GR"/>
              </w:rPr>
              <w:t>ϊόντων που τεκμηριωμένα εκτέθηκαν σε θερμοκρασίες εκτός προδιαγραφών.</w:t>
            </w:r>
          </w:p>
          <w:p w:rsidR="00603323" w:rsidRPr="00035461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603323" w:rsidRPr="00035461" w:rsidTr="00A3387E">
        <w:trPr>
          <w:trHeight w:val="866"/>
        </w:trPr>
        <w:tc>
          <w:tcPr>
            <w:tcW w:w="675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  <w:r w:rsidRPr="00035461">
              <w:rPr>
                <w:rFonts w:eastAsia="Calibri"/>
                <w:b/>
                <w:szCs w:val="22"/>
                <w:lang w:val="el-GR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03323" w:rsidRPr="00AE783C" w:rsidRDefault="00603323" w:rsidP="00A3387E">
            <w:pPr>
              <w:pStyle w:val="NoSpacing"/>
              <w:rPr>
                <w:color w:val="000000"/>
                <w:szCs w:val="22"/>
                <w:lang w:val="el-GR"/>
              </w:rPr>
            </w:pPr>
            <w:r w:rsidRPr="00AE783C">
              <w:rPr>
                <w:color w:val="000000"/>
                <w:szCs w:val="22"/>
                <w:lang w:val="el-GR"/>
              </w:rPr>
              <w:t xml:space="preserve">Απαιτείται να δηλώνεται η χώρα προέλευσης , το όνομα ή η εμπορική επωνυμία και διεύθυνση της παραγωγού εταιρείας </w:t>
            </w:r>
          </w:p>
          <w:p w:rsidR="00603323" w:rsidRPr="002D456D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3323" w:rsidRPr="00035461" w:rsidRDefault="00603323" w:rsidP="00A3387E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</w:tbl>
    <w:p w:rsidR="00603323" w:rsidRPr="00035461" w:rsidRDefault="00603323" w:rsidP="00603323">
      <w:pPr>
        <w:pStyle w:val="normalwithoutspacing"/>
        <w:spacing w:before="57" w:after="57"/>
        <w:rPr>
          <w:szCs w:val="22"/>
        </w:rPr>
      </w:pPr>
    </w:p>
    <w:p w:rsidR="00603323" w:rsidRDefault="00603323" w:rsidP="00603323">
      <w:pPr>
        <w:rPr>
          <w:sz w:val="24"/>
          <w:lang w:val="el-GR"/>
        </w:rPr>
      </w:pPr>
    </w:p>
    <w:p w:rsidR="00603323" w:rsidRDefault="00603323" w:rsidP="00603323">
      <w:pPr>
        <w:rPr>
          <w:sz w:val="24"/>
          <w:lang w:val="el-GR"/>
        </w:rPr>
      </w:pPr>
    </w:p>
    <w:p w:rsidR="00603323" w:rsidRDefault="00603323" w:rsidP="00603323">
      <w:pPr>
        <w:rPr>
          <w:sz w:val="24"/>
          <w:lang w:val="el-GR"/>
        </w:rPr>
      </w:pPr>
    </w:p>
    <w:p w:rsidR="00603323" w:rsidRDefault="00603323" w:rsidP="00603323">
      <w:pPr>
        <w:rPr>
          <w:sz w:val="24"/>
          <w:lang w:val="el-GR"/>
        </w:rPr>
      </w:pPr>
    </w:p>
    <w:p w:rsidR="00603323" w:rsidRDefault="00603323" w:rsidP="00603323">
      <w:pPr>
        <w:rPr>
          <w:sz w:val="24"/>
          <w:lang w:val="el-GR"/>
        </w:rPr>
      </w:pPr>
    </w:p>
    <w:p w:rsidR="00603323" w:rsidRDefault="00603323" w:rsidP="00603323">
      <w:pPr>
        <w:rPr>
          <w:sz w:val="24"/>
          <w:lang w:val="el-GR"/>
        </w:rPr>
      </w:pPr>
    </w:p>
    <w:p w:rsidR="00603323" w:rsidRDefault="00603323" w:rsidP="00603323">
      <w:pPr>
        <w:rPr>
          <w:sz w:val="24"/>
          <w:lang w:val="el-GR"/>
        </w:rPr>
      </w:pPr>
    </w:p>
    <w:p w:rsidR="00603323" w:rsidRDefault="00603323" w:rsidP="00603323">
      <w:pPr>
        <w:rPr>
          <w:sz w:val="24"/>
          <w:lang w:val="el-GR"/>
        </w:rPr>
      </w:pPr>
    </w:p>
    <w:p w:rsidR="00603323" w:rsidRPr="007B7980" w:rsidRDefault="00603323" w:rsidP="00603323">
      <w:pPr>
        <w:spacing w:after="0"/>
        <w:rPr>
          <w:lang w:val="el-GR"/>
        </w:rPr>
      </w:pPr>
    </w:p>
    <w:p w:rsidR="00603323" w:rsidRPr="007B7980" w:rsidRDefault="00603323" w:rsidP="00603323">
      <w:pPr>
        <w:spacing w:after="0"/>
        <w:rPr>
          <w:vanish/>
          <w:lang w:val="el-GR"/>
        </w:rPr>
      </w:pPr>
    </w:p>
    <w:p w:rsidR="00603323" w:rsidRDefault="00603323" w:rsidP="00603323">
      <w:pPr>
        <w:rPr>
          <w:lang w:val="el-GR"/>
        </w:rPr>
      </w:pPr>
    </w:p>
    <w:p w:rsidR="00603323" w:rsidRDefault="00603323" w:rsidP="00603323">
      <w:pPr>
        <w:rPr>
          <w:lang w:val="el-GR"/>
        </w:rPr>
      </w:pPr>
    </w:p>
    <w:p w:rsidR="00603323" w:rsidRDefault="00603323" w:rsidP="00603323">
      <w:pPr>
        <w:pStyle w:val="Heading2"/>
        <w:tabs>
          <w:tab w:val="clear" w:pos="567"/>
          <w:tab w:val="left" w:pos="0"/>
        </w:tabs>
        <w:spacing w:before="0" w:after="120"/>
        <w:ind w:left="0" w:firstLine="0"/>
        <w:rPr>
          <w:rFonts w:ascii="Calibri" w:hAnsi="Calibri"/>
          <w:szCs w:val="24"/>
          <w:lang w:val="el-GR"/>
        </w:rPr>
      </w:pPr>
    </w:p>
    <w:p w:rsidR="00603323" w:rsidRDefault="00603323" w:rsidP="00603323">
      <w:pPr>
        <w:pStyle w:val="Heading2"/>
        <w:tabs>
          <w:tab w:val="clear" w:pos="567"/>
          <w:tab w:val="left" w:pos="0"/>
        </w:tabs>
        <w:spacing w:before="0" w:after="120"/>
        <w:ind w:left="0" w:firstLine="0"/>
        <w:rPr>
          <w:rFonts w:ascii="Calibri" w:hAnsi="Calibri"/>
          <w:szCs w:val="24"/>
          <w:lang w:val="el-GR"/>
        </w:rPr>
      </w:pPr>
    </w:p>
    <w:p w:rsidR="00603323" w:rsidRDefault="00603323" w:rsidP="00603323">
      <w:pPr>
        <w:pStyle w:val="Heading2"/>
        <w:tabs>
          <w:tab w:val="clear" w:pos="567"/>
          <w:tab w:val="left" w:pos="0"/>
        </w:tabs>
        <w:spacing w:before="0" w:after="120"/>
        <w:ind w:left="0" w:firstLine="0"/>
        <w:rPr>
          <w:rFonts w:ascii="Calibri" w:hAnsi="Calibri"/>
          <w:szCs w:val="24"/>
          <w:lang w:val="el-GR"/>
        </w:rPr>
      </w:pPr>
    </w:p>
    <w:p w:rsidR="00603323" w:rsidRDefault="00603323" w:rsidP="00603323">
      <w:pPr>
        <w:pStyle w:val="Heading2"/>
        <w:tabs>
          <w:tab w:val="clear" w:pos="567"/>
          <w:tab w:val="left" w:pos="0"/>
        </w:tabs>
        <w:spacing w:before="0" w:after="120"/>
        <w:ind w:left="0" w:firstLine="0"/>
        <w:rPr>
          <w:rFonts w:ascii="Calibri" w:hAnsi="Calibri"/>
          <w:szCs w:val="24"/>
          <w:lang w:val="el-GR"/>
        </w:rPr>
      </w:pPr>
    </w:p>
    <w:p w:rsidR="007E2BF1" w:rsidRPr="00603323" w:rsidRDefault="007E2BF1">
      <w:pPr>
        <w:rPr>
          <w:lang w:val="el-GR"/>
        </w:rPr>
      </w:pPr>
    </w:p>
    <w:sectPr w:rsidR="007E2BF1" w:rsidRPr="006033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23"/>
    <w:rsid w:val="00521137"/>
    <w:rsid w:val="00603323"/>
    <w:rsid w:val="007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8313E-DBD5-4984-BA61-FD2F1E3E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32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3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03323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3323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customStyle="1" w:styleId="normalwithoutspacing">
    <w:name w:val="normal_without_spacing"/>
    <w:basedOn w:val="Normal"/>
    <w:rsid w:val="00603323"/>
    <w:pPr>
      <w:spacing w:after="60"/>
    </w:pPr>
    <w:rPr>
      <w:lang w:val="el-GR"/>
    </w:rPr>
  </w:style>
  <w:style w:type="paragraph" w:styleId="NoSpacing">
    <w:name w:val="No Spacing"/>
    <w:uiPriority w:val="1"/>
    <w:qFormat/>
    <w:rsid w:val="00603323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6033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Αλέκα Χουσάκου</dc:creator>
  <cp:keywords/>
  <dc:description/>
  <cp:lastModifiedBy>Μαρία Αποστολάκη</cp:lastModifiedBy>
  <cp:revision>2</cp:revision>
  <dcterms:created xsi:type="dcterms:W3CDTF">2023-09-06T11:11:00Z</dcterms:created>
  <dcterms:modified xsi:type="dcterms:W3CDTF">2023-09-06T11:11:00Z</dcterms:modified>
</cp:coreProperties>
</file>